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623B6" w14:textId="2AC5AF16" w:rsidR="00911161" w:rsidRPr="00911161" w:rsidRDefault="00911161" w:rsidP="007E06DC">
      <w:pPr>
        <w:bidi/>
        <w:ind w:right="-450"/>
        <w:rPr>
          <w:rFonts w:ascii="Arial" w:hAnsi="Arial" w:cs="Simplified Arabic"/>
          <w:bCs/>
          <w:sz w:val="28"/>
          <w:szCs w:val="28"/>
          <w:u w:val="single"/>
          <w:rtl/>
          <w:lang w:bidi="ar-AE"/>
        </w:rPr>
      </w:pPr>
      <w:r w:rsidRPr="00911161">
        <w:rPr>
          <w:rFonts w:ascii="Arial" w:hAnsi="Arial" w:cs="Simplified Arabic" w:hint="cs"/>
          <w:bCs/>
          <w:sz w:val="28"/>
          <w:szCs w:val="28"/>
          <w:u w:val="single"/>
          <w:rtl/>
          <w:lang w:bidi="ar-AE"/>
        </w:rPr>
        <w:t>للنشر الفوري:</w:t>
      </w:r>
    </w:p>
    <w:p w14:paraId="7CDAB681" w14:textId="77777777" w:rsidR="00911161" w:rsidRDefault="00911161" w:rsidP="00911161">
      <w:pPr>
        <w:bidi/>
        <w:ind w:right="-450"/>
        <w:rPr>
          <w:rFonts w:ascii="Arial" w:hAnsi="Arial" w:cs="Simplified Arabic"/>
          <w:bCs/>
          <w:sz w:val="40"/>
          <w:szCs w:val="40"/>
          <w:lang w:bidi="ar-AE"/>
        </w:rPr>
      </w:pPr>
    </w:p>
    <w:p w14:paraId="1A97FAB9" w14:textId="07F6B04D" w:rsidR="007E06DC" w:rsidRPr="00A4327E" w:rsidRDefault="007E06DC" w:rsidP="00911161">
      <w:pPr>
        <w:bidi/>
        <w:ind w:right="-450"/>
        <w:rPr>
          <w:rFonts w:ascii="Arial" w:hAnsi="Arial" w:cs="Simplified Arabic"/>
          <w:bCs/>
          <w:sz w:val="40"/>
          <w:szCs w:val="40"/>
          <w:highlight w:val="yellow"/>
          <w:rtl/>
        </w:rPr>
      </w:pPr>
      <w:r w:rsidRPr="00A4327E">
        <w:rPr>
          <w:rFonts w:ascii="Arial" w:hAnsi="Arial" w:cs="Simplified Arabic" w:hint="cs"/>
          <w:bCs/>
          <w:sz w:val="40"/>
          <w:szCs w:val="40"/>
          <w:rtl/>
        </w:rPr>
        <w:t>فورد - فولكس واغن يوسّعان تعاونهما العالمي لتطوير السيارات الذاتية القيادة والسيارات الكهربائية وخدمة العملاء بصورة أفضل</w:t>
      </w:r>
    </w:p>
    <w:p w14:paraId="137AB5FD" w14:textId="42976484" w:rsidR="006F16B7" w:rsidRPr="00A4327E" w:rsidRDefault="006F16B7" w:rsidP="001F459B">
      <w:pPr>
        <w:ind w:right="-450"/>
        <w:rPr>
          <w:rFonts w:ascii="Arial" w:eastAsia="Arial" w:hAnsi="Arial" w:cs="Simplified Arabic"/>
          <w:b/>
          <w:sz w:val="32"/>
          <w:szCs w:val="32"/>
        </w:rPr>
      </w:pPr>
    </w:p>
    <w:p w14:paraId="31925155" w14:textId="0D691A94" w:rsidR="008C3D6F" w:rsidRPr="00A4327E" w:rsidRDefault="008C3D6F" w:rsidP="005F6207">
      <w:pPr>
        <w:pStyle w:val="ListParagraph"/>
        <w:numPr>
          <w:ilvl w:val="0"/>
          <w:numId w:val="1"/>
        </w:numPr>
        <w:pBdr>
          <w:top w:val="nil"/>
          <w:left w:val="nil"/>
          <w:bottom w:val="nil"/>
          <w:right w:val="nil"/>
          <w:between w:val="nil"/>
        </w:pBdr>
        <w:bidi/>
        <w:ind w:right="-540"/>
        <w:rPr>
          <w:rFonts w:cs="Simplified Arabic"/>
          <w:color w:val="000000"/>
          <w:sz w:val="28"/>
          <w:szCs w:val="28"/>
          <w:rtl/>
        </w:rPr>
      </w:pPr>
      <w:r w:rsidRPr="00A4327E">
        <w:rPr>
          <w:rFonts w:ascii="Arial" w:hAnsi="Arial" w:cs="Simplified Arabic" w:hint="cs"/>
          <w:color w:val="000000"/>
          <w:sz w:val="28"/>
          <w:szCs w:val="28"/>
          <w:rtl/>
        </w:rPr>
        <w:t xml:space="preserve">تنضمّ فولكس واغن إلى فورد للاستثمار في "آرغو إيه آي" </w:t>
      </w:r>
      <w:r w:rsidRPr="00A4327E">
        <w:rPr>
          <w:rFonts w:ascii="Arial" w:hAnsi="Arial" w:cs="Simplified Arabic"/>
          <w:color w:val="000000"/>
          <w:sz w:val="28"/>
          <w:szCs w:val="28"/>
        </w:rPr>
        <w:t>Argo AI</w:t>
      </w:r>
      <w:r w:rsidRPr="00A4327E">
        <w:rPr>
          <w:rFonts w:ascii="Arial" w:hAnsi="Arial" w:cs="Simplified Arabic" w:hint="cs"/>
          <w:color w:val="000000"/>
          <w:sz w:val="28"/>
          <w:szCs w:val="28"/>
          <w:rtl/>
        </w:rPr>
        <w:t xml:space="preserve">، الشركة المتخصّصة بتكنولوجيا السيارات الذاتية القيادة، بقيمة تتخطّى 7 مليار دولار. </w:t>
      </w:r>
      <w:r w:rsidR="00911161">
        <w:rPr>
          <w:rFonts w:ascii="Arial" w:hAnsi="Arial" w:cs="Simplified Arabic" w:hint="cs"/>
          <w:color w:val="000000"/>
          <w:sz w:val="28"/>
          <w:szCs w:val="28"/>
          <w:rtl/>
        </w:rPr>
        <w:t>و</w:t>
      </w:r>
      <w:r w:rsidRPr="00A4327E">
        <w:rPr>
          <w:rFonts w:ascii="Arial" w:hAnsi="Arial" w:cs="Simplified Arabic" w:hint="cs"/>
          <w:color w:val="000000"/>
          <w:sz w:val="28"/>
          <w:szCs w:val="28"/>
          <w:rtl/>
        </w:rPr>
        <w:t xml:space="preserve">يسمح هذا التعاون لشركتي تصنيع السيارات بدمج نظام "آرغو إيه آي" </w:t>
      </w:r>
      <w:r w:rsidRPr="00A4327E">
        <w:rPr>
          <w:rFonts w:ascii="Arial" w:hAnsi="Arial" w:cs="Simplified Arabic"/>
          <w:color w:val="000000"/>
          <w:sz w:val="28"/>
          <w:szCs w:val="28"/>
        </w:rPr>
        <w:t>Argo AI</w:t>
      </w:r>
      <w:r w:rsidRPr="00A4327E">
        <w:rPr>
          <w:rFonts w:ascii="Arial" w:hAnsi="Arial" w:cs="Simplified Arabic" w:hint="cs"/>
          <w:color w:val="000000"/>
          <w:sz w:val="28"/>
          <w:szCs w:val="28"/>
          <w:rtl/>
        </w:rPr>
        <w:t xml:space="preserve"> للقيادة الذاتية بشكل مستقلّ في مركباتهما، للتوسّع على النطاق العالمي</w:t>
      </w:r>
      <w:r w:rsidRPr="00A4327E">
        <w:rPr>
          <w:rFonts w:ascii="Arial" w:hAnsi="Arial" w:cs="Simplified Arabic" w:hint="cs"/>
          <w:color w:val="000000"/>
          <w:sz w:val="28"/>
          <w:szCs w:val="28"/>
          <w:rtl/>
        </w:rPr>
        <w:br/>
      </w:r>
    </w:p>
    <w:p w14:paraId="7D323DCC" w14:textId="142D696C" w:rsidR="00972B37" w:rsidRPr="00A4327E" w:rsidRDefault="00972B37" w:rsidP="00972B37">
      <w:pPr>
        <w:numPr>
          <w:ilvl w:val="0"/>
          <w:numId w:val="1"/>
        </w:numPr>
        <w:pBdr>
          <w:top w:val="nil"/>
          <w:left w:val="nil"/>
          <w:bottom w:val="nil"/>
          <w:right w:val="nil"/>
          <w:between w:val="nil"/>
        </w:pBdr>
        <w:bidi/>
        <w:rPr>
          <w:rFonts w:cs="Simplified Arabic"/>
          <w:color w:val="000000"/>
          <w:sz w:val="28"/>
          <w:szCs w:val="28"/>
          <w:rtl/>
        </w:rPr>
      </w:pPr>
      <w:r w:rsidRPr="00A4327E">
        <w:rPr>
          <w:rFonts w:ascii="Arial" w:hAnsi="Arial" w:cs="Simplified Arabic" w:hint="cs"/>
          <w:color w:val="000000"/>
          <w:sz w:val="28"/>
          <w:szCs w:val="28"/>
          <w:rtl/>
        </w:rPr>
        <w:t xml:space="preserve">تستخدم فورد هندسة المركبات الكهربائية الخاصة بفولكس واغن و"مصفوفة القيادة الكهربائية المعيارية" </w:t>
      </w:r>
      <w:r w:rsidRPr="00A4327E">
        <w:rPr>
          <w:rFonts w:ascii="Arial" w:hAnsi="Arial" w:cs="Simplified Arabic"/>
          <w:color w:val="000000"/>
          <w:sz w:val="28"/>
          <w:szCs w:val="28"/>
        </w:rPr>
        <w:t>MEB</w:t>
      </w:r>
      <w:r w:rsidRPr="00A4327E">
        <w:rPr>
          <w:rFonts w:ascii="Arial" w:hAnsi="Arial" w:cs="Simplified Arabic" w:hint="cs"/>
          <w:color w:val="000000"/>
          <w:sz w:val="28"/>
          <w:szCs w:val="28"/>
          <w:rtl/>
        </w:rPr>
        <w:t xml:space="preserve"> لتصميم وتصنيع مركبة واحدة على الأقلّ، كهربائية بالكامل، بأعداد كبيرة في أوروبا للعملاء الأوروبيين ابتداءً من سنة 2023، وهي بالتالي تلتزم بوعدها بفعالية أكبر لتقديم سيارات الركاب المتميّزة مع الاستفادة من عمليات فولكس واغن الواسعة النطاق</w:t>
      </w:r>
    </w:p>
    <w:p w14:paraId="56997E52" w14:textId="77777777" w:rsidR="004F47BF" w:rsidRPr="00A4327E" w:rsidRDefault="004F47BF" w:rsidP="004F47BF">
      <w:pPr>
        <w:rPr>
          <w:rFonts w:ascii="Arial" w:eastAsia="Arial" w:hAnsi="Arial" w:cs="Simplified Arabic"/>
          <w:sz w:val="28"/>
          <w:szCs w:val="28"/>
        </w:rPr>
      </w:pPr>
    </w:p>
    <w:p w14:paraId="598FE222" w14:textId="16DB709C" w:rsidR="006F16B7" w:rsidRPr="00A4327E" w:rsidRDefault="008B2A4A" w:rsidP="00E60DEB">
      <w:pPr>
        <w:numPr>
          <w:ilvl w:val="0"/>
          <w:numId w:val="1"/>
        </w:numPr>
        <w:pBdr>
          <w:top w:val="nil"/>
          <w:left w:val="nil"/>
          <w:bottom w:val="nil"/>
          <w:right w:val="nil"/>
          <w:between w:val="nil"/>
        </w:pBdr>
        <w:bidi/>
        <w:rPr>
          <w:rFonts w:cs="Simplified Arabic"/>
          <w:color w:val="000000"/>
          <w:sz w:val="28"/>
          <w:szCs w:val="28"/>
          <w:rtl/>
        </w:rPr>
      </w:pPr>
      <w:r w:rsidRPr="00A4327E">
        <w:rPr>
          <w:rFonts w:ascii="Arial" w:hAnsi="Arial" w:cs="Simplified Arabic" w:hint="cs"/>
          <w:color w:val="000000"/>
          <w:sz w:val="28"/>
          <w:szCs w:val="28"/>
          <w:rtl/>
        </w:rPr>
        <w:t>فورد وفولكس واغن تنطلقان في مسيرة تطوير الفانات التجارية ومركبات البيك أب المتوسّطة الحجم لكلّ علامة في بعض الأسواق العالمية ابتداءً من سنة 2022؛ وتتشاركان تكاليف التطوير لتجسيد مبادرات التعاون الهادفة</w:t>
      </w:r>
    </w:p>
    <w:p w14:paraId="7FE32417" w14:textId="77777777" w:rsidR="006F16B7" w:rsidRPr="00A4327E" w:rsidRDefault="006F16B7">
      <w:pPr>
        <w:pBdr>
          <w:top w:val="nil"/>
          <w:left w:val="nil"/>
          <w:bottom w:val="nil"/>
          <w:right w:val="nil"/>
          <w:between w:val="nil"/>
        </w:pBdr>
        <w:ind w:left="360" w:hanging="720"/>
        <w:rPr>
          <w:rFonts w:ascii="Arial" w:eastAsia="Arial" w:hAnsi="Arial" w:cs="Simplified Arabic"/>
          <w:color w:val="000000"/>
          <w:sz w:val="28"/>
          <w:szCs w:val="28"/>
        </w:rPr>
      </w:pPr>
    </w:p>
    <w:p w14:paraId="47EC7C38" w14:textId="77777777" w:rsidR="006F16B7" w:rsidRPr="00A4327E" w:rsidRDefault="00B32FFF" w:rsidP="007F4E29">
      <w:pPr>
        <w:numPr>
          <w:ilvl w:val="0"/>
          <w:numId w:val="1"/>
        </w:numPr>
        <w:bidi/>
        <w:rPr>
          <w:rFonts w:cs="Simplified Arabic"/>
          <w:sz w:val="28"/>
          <w:szCs w:val="28"/>
          <w:rtl/>
        </w:rPr>
      </w:pPr>
      <w:r w:rsidRPr="00A4327E">
        <w:rPr>
          <w:rFonts w:ascii="Arial" w:hAnsi="Arial" w:cs="Simplified Arabic" w:hint="cs"/>
          <w:sz w:val="28"/>
          <w:szCs w:val="28"/>
          <w:rtl/>
        </w:rPr>
        <w:t>اتحاد فولكس واغن - فورد العالمي، الذي لا يتضمّن ملكية متبادلة بين الشركتين، من المتوقّع أن يعود بالكفاءات والمنافع السنوية لكلّ شركة</w:t>
      </w:r>
    </w:p>
    <w:p w14:paraId="56663F8B" w14:textId="77777777" w:rsidR="006F16B7" w:rsidRPr="00A4327E" w:rsidRDefault="006F16B7">
      <w:pPr>
        <w:rPr>
          <w:rFonts w:ascii="Arial" w:eastAsia="Arial" w:hAnsi="Arial" w:cs="Simplified Arabic"/>
          <w:sz w:val="28"/>
          <w:szCs w:val="28"/>
        </w:rPr>
      </w:pPr>
    </w:p>
    <w:p w14:paraId="2BA0911D" w14:textId="4233AA95" w:rsidR="006F16B7" w:rsidRPr="00A4327E" w:rsidRDefault="008B2A4A">
      <w:pPr>
        <w:bidi/>
        <w:ind w:right="-180"/>
        <w:rPr>
          <w:rFonts w:ascii="Arial" w:eastAsia="Arial" w:hAnsi="Arial" w:cs="Simplified Arabic"/>
          <w:sz w:val="28"/>
          <w:szCs w:val="28"/>
          <w:rtl/>
        </w:rPr>
      </w:pPr>
      <w:bookmarkStart w:id="0" w:name="30j0zll"/>
      <w:bookmarkEnd w:id="0"/>
      <w:r w:rsidRPr="00A4327E">
        <w:rPr>
          <w:rFonts w:ascii="Arial" w:hAnsi="Arial" w:cs="Simplified Arabic" w:hint="cs"/>
          <w:sz w:val="28"/>
          <w:szCs w:val="28"/>
          <w:rtl/>
        </w:rPr>
        <w:t xml:space="preserve"> </w:t>
      </w:r>
      <w:r w:rsidR="004E2756" w:rsidRPr="00F805AC">
        <w:rPr>
          <w:rFonts w:ascii="Simplified Arabic" w:hAnsi="Simplified Arabic" w:cs="Simplified Arabic"/>
          <w:b/>
          <w:bCs/>
          <w:sz w:val="28"/>
          <w:szCs w:val="28"/>
          <w:rtl/>
        </w:rPr>
        <w:t xml:space="preserve">دبي، الإمارات العربية المتحدة، </w:t>
      </w:r>
      <w:r w:rsidR="00B476C8">
        <w:rPr>
          <w:rFonts w:ascii="Arial" w:hAnsi="Arial" w:cs="Simplified Arabic"/>
          <w:b/>
          <w:bCs/>
          <w:sz w:val="28"/>
          <w:szCs w:val="28"/>
        </w:rPr>
        <w:t>12</w:t>
      </w:r>
      <w:bookmarkStart w:id="1" w:name="_GoBack"/>
      <w:bookmarkEnd w:id="1"/>
      <w:r w:rsidRPr="00A4327E">
        <w:rPr>
          <w:rFonts w:ascii="Arial" w:hAnsi="Arial" w:cs="Simplified Arabic" w:hint="cs"/>
          <w:b/>
          <w:bCs/>
          <w:sz w:val="28"/>
          <w:szCs w:val="28"/>
          <w:rtl/>
        </w:rPr>
        <w:t xml:space="preserve"> يوليو 2019 -</w:t>
      </w:r>
      <w:r w:rsidRPr="00A4327E">
        <w:rPr>
          <w:rFonts w:ascii="Arial" w:hAnsi="Arial" w:cs="Simplified Arabic" w:hint="cs"/>
          <w:sz w:val="28"/>
          <w:szCs w:val="28"/>
          <w:rtl/>
        </w:rPr>
        <w:t xml:space="preserve"> أعلنت شركة فورد موتور كومباني ومجموعة فولكس واغن عن توسيع اتحادهما العالمي ليشمل المركبات الكهربائية، وستتعاونان مع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لتقديم تكنولوجيا السيارات الذاتية القيادة في الولايات المتحدة الأميركية وأوروبا، ما يسمح للشركتين بخدمة العملاء بصورة أفضل بالإضافة إلى تحسين قدراتهما التنافسية، وتخفيض التكاليف، وتعزيز كفاءات رأس المال.</w:t>
      </w:r>
    </w:p>
    <w:p w14:paraId="49EBC24D" w14:textId="45FCE9ED" w:rsidR="006935C7" w:rsidRPr="00A4327E" w:rsidRDefault="00987F30" w:rsidP="00987F30">
      <w:pPr>
        <w:tabs>
          <w:tab w:val="left" w:pos="5835"/>
        </w:tabs>
        <w:rPr>
          <w:rFonts w:ascii="Arial" w:eastAsia="Arial" w:hAnsi="Arial" w:cs="Simplified Arabic"/>
          <w:sz w:val="28"/>
          <w:szCs w:val="28"/>
        </w:rPr>
      </w:pPr>
      <w:r>
        <w:rPr>
          <w:rFonts w:ascii="Arial" w:eastAsia="Arial" w:hAnsi="Arial" w:cs="Simplified Arabic"/>
          <w:sz w:val="28"/>
          <w:szCs w:val="28"/>
        </w:rPr>
        <w:lastRenderedPageBreak/>
        <w:tab/>
      </w:r>
    </w:p>
    <w:p w14:paraId="7489E9B9" w14:textId="77777777" w:rsidR="00570C07" w:rsidRPr="00A4327E" w:rsidRDefault="008B2A4A" w:rsidP="00570C07">
      <w:pPr>
        <w:bidi/>
        <w:ind w:right="-90"/>
        <w:rPr>
          <w:rFonts w:ascii="Arial" w:eastAsia="Arial" w:hAnsi="Arial" w:cs="Simplified Arabic"/>
          <w:sz w:val="28"/>
          <w:szCs w:val="28"/>
          <w:rtl/>
        </w:rPr>
      </w:pPr>
      <w:r w:rsidRPr="00A4327E">
        <w:rPr>
          <w:rFonts w:ascii="Arial" w:hAnsi="Arial" w:cs="Simplified Arabic" w:hint="cs"/>
          <w:sz w:val="28"/>
          <w:szCs w:val="28"/>
          <w:rtl/>
        </w:rPr>
        <w:t xml:space="preserve"> وقد أعلن المدير التنفيذي الأعلى لفولكس واغن، الدكتور هيربرت دايس، ورئيس فورد ومديرها التنفيذي الأعلى جيم هاكيت، بالإضافة إلى المدير التنفيذي الأعلى لشركة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برايان ساليسكي، أنّ فولكس واغن ستنضمّ إلى فورد للاستثمار في "آرغو إيه آي" </w:t>
      </w:r>
      <w:r w:rsidRPr="00A4327E">
        <w:rPr>
          <w:rFonts w:ascii="Arial" w:hAnsi="Arial" w:cs="Simplified Arabic"/>
          <w:sz w:val="28"/>
          <w:szCs w:val="28"/>
        </w:rPr>
        <w:t>Argo AI</w:t>
      </w:r>
      <w:r w:rsidRPr="00A4327E">
        <w:rPr>
          <w:rFonts w:ascii="Arial" w:hAnsi="Arial" w:cs="Simplified Arabic" w:hint="cs"/>
          <w:sz w:val="28"/>
          <w:szCs w:val="28"/>
          <w:rtl/>
        </w:rPr>
        <w:t>، الشركة المتخصّصة بتكنولوجيا السيارات الذاتية القيادة.</w:t>
      </w:r>
    </w:p>
    <w:p w14:paraId="69D851AB" w14:textId="77777777" w:rsidR="00570C07" w:rsidRPr="00A4327E" w:rsidRDefault="00570C07" w:rsidP="005A0604">
      <w:pPr>
        <w:ind w:right="-90"/>
        <w:rPr>
          <w:rFonts w:ascii="Arial" w:eastAsia="Arial" w:hAnsi="Arial" w:cs="Simplified Arabic"/>
          <w:sz w:val="28"/>
          <w:szCs w:val="28"/>
        </w:rPr>
      </w:pPr>
    </w:p>
    <w:p w14:paraId="2AC209E1" w14:textId="5CD4E9C8" w:rsidR="00570C07" w:rsidRPr="00A4327E" w:rsidRDefault="00570C07" w:rsidP="00A4327E">
      <w:pPr>
        <w:bidi/>
        <w:ind w:right="-180"/>
        <w:rPr>
          <w:rFonts w:ascii="Arial" w:eastAsia="Arial" w:hAnsi="Arial" w:cs="Simplified Arabic"/>
          <w:sz w:val="28"/>
          <w:szCs w:val="28"/>
          <w:rtl/>
        </w:rPr>
      </w:pPr>
      <w:r w:rsidRPr="00A4327E">
        <w:rPr>
          <w:rFonts w:ascii="Arial" w:hAnsi="Arial" w:cs="Simplified Arabic" w:hint="cs"/>
          <w:sz w:val="28"/>
          <w:szCs w:val="28"/>
          <w:rtl/>
        </w:rPr>
        <w:t xml:space="preserve">تتعاون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بشكل وثيق مع فورد وفولكس واغن، ويُعتبر نظام القيادة الذاتية </w:t>
      </w:r>
      <w:r w:rsidRPr="00A4327E">
        <w:rPr>
          <w:rFonts w:ascii="Arial" w:hAnsi="Arial" w:cs="Simplified Arabic"/>
          <w:sz w:val="28"/>
          <w:szCs w:val="28"/>
        </w:rPr>
        <w:t>SDS</w:t>
      </w:r>
      <w:r w:rsidRPr="00A4327E">
        <w:rPr>
          <w:rFonts w:ascii="Arial" w:hAnsi="Arial" w:cs="Simplified Arabic" w:hint="cs"/>
          <w:sz w:val="28"/>
          <w:szCs w:val="28"/>
          <w:rtl/>
        </w:rPr>
        <w:t xml:space="preserve"> الذي تطوّره أوّل نظام يضمّ خطط انتشار تجارية لأوروبا والولايات المتحدة الأميركية. بالإضافة إلى قدرتها على الاستفادة من النطاق العالمي لشركتي تصنيع السيارات</w:t>
      </w:r>
      <w:r w:rsidR="00A4327E">
        <w:rPr>
          <w:rFonts w:ascii="Arial" w:hAnsi="Arial" w:cs="Simplified Arabic" w:hint="cs"/>
          <w:sz w:val="28"/>
          <w:szCs w:val="28"/>
          <w:rtl/>
        </w:rPr>
        <w:t>.</w:t>
      </w:r>
      <w:r w:rsidRPr="00A4327E">
        <w:rPr>
          <w:rFonts w:ascii="Arial" w:hAnsi="Arial" w:cs="Simplified Arabic" w:hint="cs"/>
          <w:sz w:val="28"/>
          <w:szCs w:val="28"/>
          <w:rtl/>
        </w:rPr>
        <w:t xml:space="preserve"> </w:t>
      </w:r>
      <w:r w:rsidR="00911161">
        <w:rPr>
          <w:rFonts w:ascii="Arial" w:hAnsi="Arial" w:cs="Simplified Arabic" w:hint="cs"/>
          <w:sz w:val="28"/>
          <w:szCs w:val="28"/>
          <w:rtl/>
        </w:rPr>
        <w:t>و</w:t>
      </w:r>
      <w:r w:rsidRPr="00A4327E">
        <w:rPr>
          <w:rFonts w:ascii="Arial" w:hAnsi="Arial" w:cs="Simplified Arabic" w:hint="cs"/>
          <w:sz w:val="28"/>
          <w:szCs w:val="28"/>
          <w:rtl/>
        </w:rPr>
        <w:t xml:space="preserve">تملك منصة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أكبر إمكانيات للانتشار الجغرافي مقارنةً بأيّ تكنولوجيا للقيادة الذاتية حتى يومنا هذا. ستدمج فولكس واغن وفورد نظام القيادة الذاتية </w:t>
      </w:r>
      <w:r w:rsidRPr="00A4327E">
        <w:rPr>
          <w:rFonts w:ascii="Arial" w:hAnsi="Arial" w:cs="Simplified Arabic"/>
          <w:sz w:val="28"/>
          <w:szCs w:val="28"/>
        </w:rPr>
        <w:t>SDS</w:t>
      </w:r>
      <w:r w:rsidRPr="00A4327E">
        <w:rPr>
          <w:rFonts w:ascii="Arial" w:hAnsi="Arial" w:cs="Simplified Arabic" w:hint="cs"/>
          <w:sz w:val="28"/>
          <w:szCs w:val="28"/>
          <w:rtl/>
        </w:rPr>
        <w:t xml:space="preserve">، التابع لشركة "آرغو إيه آي" </w:t>
      </w:r>
      <w:r w:rsidRPr="00A4327E">
        <w:rPr>
          <w:rFonts w:ascii="Arial" w:hAnsi="Arial" w:cs="Simplified Arabic"/>
          <w:sz w:val="28"/>
          <w:szCs w:val="28"/>
        </w:rPr>
        <w:t>Argo AI</w:t>
      </w:r>
      <w:r w:rsidRPr="00A4327E">
        <w:rPr>
          <w:rFonts w:ascii="Arial" w:hAnsi="Arial" w:cs="Simplified Arabic" w:hint="cs"/>
          <w:sz w:val="28"/>
          <w:szCs w:val="28"/>
          <w:rtl/>
        </w:rPr>
        <w:t>، بشكل مستقلّ في المركبات المصمّمة خصيصاً لدعم مبادرات وسائل نقل الأشخاص والأغراض لكلتا الشركتين.</w:t>
      </w:r>
    </w:p>
    <w:p w14:paraId="7101C0C5" w14:textId="77777777" w:rsidR="00570C07" w:rsidRPr="00A4327E" w:rsidRDefault="00570C07" w:rsidP="005A0604">
      <w:pPr>
        <w:ind w:right="-90"/>
        <w:rPr>
          <w:rFonts w:ascii="Arial" w:eastAsia="Arial" w:hAnsi="Arial" w:cs="Simplified Arabic"/>
          <w:sz w:val="28"/>
          <w:szCs w:val="28"/>
        </w:rPr>
      </w:pPr>
    </w:p>
    <w:p w14:paraId="6B4D4312" w14:textId="77777777" w:rsidR="00570C07" w:rsidRPr="00A4327E" w:rsidRDefault="00570C07" w:rsidP="00570C07">
      <w:pPr>
        <w:bidi/>
        <w:ind w:right="-90"/>
        <w:rPr>
          <w:rFonts w:ascii="Arial" w:eastAsia="Arial" w:hAnsi="Arial" w:cs="Simplified Arabic"/>
          <w:sz w:val="28"/>
          <w:szCs w:val="28"/>
          <w:rtl/>
        </w:rPr>
      </w:pPr>
      <w:r w:rsidRPr="00A4327E">
        <w:rPr>
          <w:rFonts w:ascii="Arial" w:hAnsi="Arial" w:cs="Simplified Arabic" w:hint="cs"/>
          <w:sz w:val="28"/>
          <w:szCs w:val="28"/>
          <w:rtl/>
        </w:rPr>
        <w:t xml:space="preserve">ينصبّ تركيز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على تقديم نظام القيادة الذاتيّة </w:t>
      </w:r>
      <w:r w:rsidRPr="00A4327E">
        <w:rPr>
          <w:rFonts w:ascii="Arial" w:hAnsi="Arial" w:cs="Simplified Arabic"/>
          <w:sz w:val="28"/>
          <w:szCs w:val="28"/>
        </w:rPr>
        <w:t>SDS</w:t>
      </w:r>
      <w:r w:rsidRPr="00A4327E">
        <w:rPr>
          <w:rFonts w:ascii="Arial" w:hAnsi="Arial" w:cs="Simplified Arabic" w:hint="cs"/>
          <w:sz w:val="28"/>
          <w:szCs w:val="28"/>
          <w:rtl/>
        </w:rPr>
        <w:t xml:space="preserve"> من المستوى 4 وفق تصنيف جمعية مهندسي السيارات </w:t>
      </w:r>
      <w:r w:rsidRPr="00A4327E">
        <w:rPr>
          <w:rFonts w:ascii="Arial" w:hAnsi="Arial" w:cs="Simplified Arabic"/>
          <w:sz w:val="28"/>
          <w:szCs w:val="28"/>
        </w:rPr>
        <w:t>SAE</w:t>
      </w:r>
      <w:r w:rsidRPr="00A4327E">
        <w:rPr>
          <w:rFonts w:ascii="Arial" w:hAnsi="Arial" w:cs="Simplified Arabic" w:hint="cs"/>
          <w:sz w:val="28"/>
          <w:szCs w:val="28"/>
          <w:rtl/>
        </w:rPr>
        <w:t>، بحيث يتمّ تطبيقه على خدمات مشاركة وسائل النقل وخدمات تسليم البضائع في المدن المكتظّة.</w:t>
      </w:r>
    </w:p>
    <w:p w14:paraId="0E12ECF9" w14:textId="77777777" w:rsidR="00570C07" w:rsidRPr="00A4327E" w:rsidRDefault="00570C07" w:rsidP="00570C07">
      <w:pPr>
        <w:ind w:right="-90"/>
        <w:rPr>
          <w:rFonts w:ascii="Arial" w:eastAsia="Arial" w:hAnsi="Arial" w:cs="Simplified Arabic"/>
          <w:sz w:val="28"/>
          <w:szCs w:val="28"/>
        </w:rPr>
      </w:pPr>
    </w:p>
    <w:p w14:paraId="0719C16F" w14:textId="6F1996E3" w:rsidR="003637BE" w:rsidRPr="00A4327E" w:rsidRDefault="000E3E32" w:rsidP="003637BE">
      <w:pPr>
        <w:bidi/>
        <w:ind w:right="-90"/>
        <w:rPr>
          <w:rFonts w:ascii="Arial" w:eastAsia="Arial" w:hAnsi="Arial" w:cs="Simplified Arabic"/>
          <w:sz w:val="28"/>
          <w:szCs w:val="28"/>
          <w:rtl/>
        </w:rPr>
      </w:pPr>
      <w:r w:rsidRPr="00A4327E">
        <w:rPr>
          <w:rFonts w:ascii="Arial" w:hAnsi="Arial" w:cs="Simplified Arabic" w:hint="cs"/>
          <w:sz w:val="28"/>
          <w:szCs w:val="28"/>
          <w:rtl/>
        </w:rPr>
        <w:t xml:space="preserve">تحظى فورد وفولكس واغن بحصة متساوية في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وستمتلكان مجتمعتين الأغلبية في الشركة. وسيتمّ استخدام الحصص المتبقّية كحوافز لموظفي "آرغو إيه آي" </w:t>
      </w:r>
      <w:r w:rsidRPr="00A4327E">
        <w:rPr>
          <w:rFonts w:ascii="Arial" w:hAnsi="Arial" w:cs="Simplified Arabic"/>
          <w:sz w:val="28"/>
          <w:szCs w:val="28"/>
        </w:rPr>
        <w:t>Argo AI</w:t>
      </w:r>
      <w:r w:rsidRPr="00A4327E">
        <w:rPr>
          <w:rFonts w:ascii="Arial" w:hAnsi="Arial" w:cs="Simplified Arabic" w:hint="cs"/>
          <w:sz w:val="28"/>
          <w:szCs w:val="28"/>
          <w:rtl/>
        </w:rPr>
        <w:t>. تخضع الصفقة لموافقة الهيئات الناظمة وشروط إبرام الصفقة.</w:t>
      </w:r>
    </w:p>
    <w:p w14:paraId="021E82EA" w14:textId="50835864" w:rsidR="00CA6EE7" w:rsidRPr="00A4327E" w:rsidRDefault="00CA6EE7" w:rsidP="00CA6EE7">
      <w:pPr>
        <w:ind w:right="-180"/>
        <w:rPr>
          <w:rFonts w:ascii="Arial" w:eastAsia="Arial" w:hAnsi="Arial" w:cs="Simplified Arabic"/>
          <w:sz w:val="28"/>
          <w:szCs w:val="28"/>
        </w:rPr>
      </w:pPr>
    </w:p>
    <w:p w14:paraId="2346E023" w14:textId="77777777" w:rsidR="00971BF3" w:rsidRPr="00A4327E" w:rsidRDefault="00971BF3">
      <w:pPr>
        <w:rPr>
          <w:rFonts w:ascii="Arial" w:eastAsia="Arial" w:hAnsi="Arial" w:cs="Simplified Arabic"/>
          <w:sz w:val="28"/>
          <w:szCs w:val="28"/>
        </w:rPr>
      </w:pPr>
    </w:p>
    <w:p w14:paraId="6790F856" w14:textId="50C7FD22"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وقال هاكيت في هذا الصدد: "بالرغم من بقاء فورد وفولكس واغن مستقلّتين وشديدتي التنافس في السوق، يسمح لنا التعاون والعمل مع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على هذه التكنولوجيا المهمة بتقديم مستويات لا تُضاهى من القدرات والنطاق الواسع والامتداد الجغرافي. كما تسمح لنا مبادرات التعاون في مختلف المجالات بإبراز قوّة اتحادنا العالمي في هذه الحقبة من المركبات الذكية لعالم ذكي".</w:t>
      </w:r>
    </w:p>
    <w:p w14:paraId="783C4B2F" w14:textId="77777777" w:rsidR="00633BDA" w:rsidRPr="00A4327E" w:rsidRDefault="00633BDA">
      <w:pPr>
        <w:rPr>
          <w:rFonts w:ascii="Arial" w:eastAsia="Arial" w:hAnsi="Arial" w:cs="Simplified Arabic"/>
          <w:sz w:val="28"/>
          <w:szCs w:val="28"/>
        </w:rPr>
      </w:pPr>
    </w:p>
    <w:p w14:paraId="62CFEC14" w14:textId="77777777" w:rsidR="00633BDA" w:rsidRPr="00A4327E" w:rsidRDefault="00762E94">
      <w:pPr>
        <w:bidi/>
        <w:rPr>
          <w:rFonts w:ascii="Arial" w:eastAsia="Arial" w:hAnsi="Arial" w:cs="Simplified Arabic"/>
          <w:sz w:val="28"/>
          <w:szCs w:val="28"/>
          <w:rtl/>
        </w:rPr>
      </w:pPr>
      <w:r w:rsidRPr="00A4327E">
        <w:rPr>
          <w:rFonts w:ascii="Arial" w:hAnsi="Arial" w:cs="Simplified Arabic" w:hint="cs"/>
          <w:sz w:val="28"/>
          <w:szCs w:val="28"/>
          <w:rtl/>
        </w:rPr>
        <w:t xml:space="preserve">كما أعلن قادة الشركة على أنّ فورد ستصبح الشركة الثانية التي تستخدم هندسة المركبات الكهربائية الخاصة بفولكس واغن و"مصفوفة القيادة الكهربائية المعيارية" </w:t>
      </w:r>
      <w:r w:rsidRPr="00A4327E">
        <w:rPr>
          <w:rFonts w:ascii="Arial" w:hAnsi="Arial" w:cs="Simplified Arabic"/>
          <w:sz w:val="28"/>
          <w:szCs w:val="28"/>
        </w:rPr>
        <w:t>MEB</w:t>
      </w:r>
      <w:r w:rsidRPr="00A4327E">
        <w:rPr>
          <w:rFonts w:ascii="Arial" w:hAnsi="Arial" w:cs="Simplified Arabic" w:hint="cs"/>
          <w:sz w:val="28"/>
          <w:szCs w:val="28"/>
          <w:rtl/>
        </w:rPr>
        <w:t xml:space="preserve"> لتصنيع مركبة من دون انبعاثات بأعداد كبيرة في أوروبا ابتداءً من سنة 2023.</w:t>
      </w:r>
    </w:p>
    <w:p w14:paraId="282616A3" w14:textId="77777777" w:rsidR="00633BDA" w:rsidRPr="00A4327E" w:rsidRDefault="00633BDA">
      <w:pPr>
        <w:rPr>
          <w:rFonts w:ascii="Arial" w:eastAsia="Arial" w:hAnsi="Arial" w:cs="Simplified Arabic"/>
          <w:sz w:val="28"/>
          <w:szCs w:val="28"/>
        </w:rPr>
      </w:pPr>
    </w:p>
    <w:p w14:paraId="5083F61C" w14:textId="776BA8E5" w:rsidR="006F16B7" w:rsidRPr="00A4327E" w:rsidRDefault="008B2A4A" w:rsidP="005F6207">
      <w:pPr>
        <w:bidi/>
        <w:rPr>
          <w:rFonts w:ascii="Arial" w:eastAsia="Arial" w:hAnsi="Arial" w:cs="Simplified Arabic"/>
          <w:sz w:val="28"/>
          <w:szCs w:val="28"/>
          <w:rtl/>
        </w:rPr>
      </w:pPr>
      <w:r w:rsidRPr="00A4327E">
        <w:rPr>
          <w:rFonts w:ascii="Arial" w:hAnsi="Arial" w:cs="Simplified Arabic" w:hint="cs"/>
          <w:sz w:val="28"/>
          <w:szCs w:val="28"/>
          <w:rtl/>
        </w:rPr>
        <w:t xml:space="preserve"> تتوقّع فورد تصنيع أكثر من 600 ألف مركبة أوروبية باستخدام هندسة "مصفوفة القيادة الكهربائية المعيارية" </w:t>
      </w:r>
      <w:r w:rsidRPr="00A4327E">
        <w:rPr>
          <w:rFonts w:ascii="Arial" w:hAnsi="Arial" w:cs="Simplified Arabic"/>
          <w:sz w:val="28"/>
          <w:szCs w:val="28"/>
        </w:rPr>
        <w:t>MEB</w:t>
      </w:r>
      <w:r w:rsidRPr="00A4327E">
        <w:rPr>
          <w:rFonts w:ascii="Arial" w:hAnsi="Arial" w:cs="Simplified Arabic" w:hint="cs"/>
          <w:sz w:val="28"/>
          <w:szCs w:val="28"/>
          <w:rtl/>
        </w:rPr>
        <w:t xml:space="preserve"> خلال ست سنوات، وتتمّ حالياً مناقشة تصنيع طراز ثانٍ جديد كلياً من فورد للعملاء الأوروبيين. يدعم هذا استراتيجية فورد الأوروبية التي تنطوي على الاعتماد على نقاط قوتها - بما في ذلك المركبات التجارية والكروسوفر المتميّزة والمركبات الأسطورية المستوردة مثل موستانج وإكسبلورر.</w:t>
      </w:r>
      <w:r w:rsidRPr="00A4327E">
        <w:rPr>
          <w:rFonts w:ascii="Arial" w:hAnsi="Arial" w:cs="Simplified Arabic" w:hint="cs"/>
          <w:sz w:val="28"/>
          <w:szCs w:val="28"/>
          <w:rtl/>
        </w:rPr>
        <w:br/>
      </w:r>
      <w:r w:rsidRPr="00A4327E">
        <w:rPr>
          <w:rFonts w:ascii="Arial" w:hAnsi="Arial" w:cs="Simplified Arabic" w:hint="cs"/>
          <w:sz w:val="28"/>
          <w:szCs w:val="28"/>
          <w:rtl/>
        </w:rPr>
        <w:br/>
        <w:t xml:space="preserve">بدأت فولكس واغن بتطوير هندسة "مصفوفة القيادة الكهربائية المعيارية" </w:t>
      </w:r>
      <w:r w:rsidRPr="00A4327E">
        <w:rPr>
          <w:rFonts w:ascii="Arial" w:hAnsi="Arial" w:cs="Simplified Arabic"/>
          <w:sz w:val="28"/>
          <w:szCs w:val="28"/>
        </w:rPr>
        <w:t>MEB</w:t>
      </w:r>
      <w:r w:rsidRPr="00A4327E">
        <w:rPr>
          <w:rFonts w:ascii="Arial" w:hAnsi="Arial" w:cs="Simplified Arabic" w:hint="cs"/>
          <w:sz w:val="28"/>
          <w:szCs w:val="28"/>
          <w:rtl/>
        </w:rPr>
        <w:t xml:space="preserve"> عام 2016 مستثمرةً نحو 7 مليارات دولار في هذه المنصة. وتنوي شركة تصنيع السيارات استخدام هذه المنصة لبناء ما يقارب 15 مليون سيارة لمجموعة فولكس واغن وحدها في العقد التالي.</w:t>
      </w:r>
    </w:p>
    <w:p w14:paraId="71855DB8" w14:textId="77777777" w:rsidR="006E3377" w:rsidRPr="00A4327E" w:rsidRDefault="006E3377">
      <w:pPr>
        <w:rPr>
          <w:rFonts w:ascii="Arial" w:eastAsia="Arial" w:hAnsi="Arial" w:cs="Simplified Arabic"/>
          <w:sz w:val="28"/>
          <w:szCs w:val="28"/>
        </w:rPr>
      </w:pPr>
    </w:p>
    <w:p w14:paraId="24695BF9" w14:textId="65AEAB94" w:rsidR="006E3377" w:rsidRPr="00A4327E" w:rsidRDefault="00911161" w:rsidP="006E3377">
      <w:pPr>
        <w:bidi/>
        <w:rPr>
          <w:rFonts w:ascii="Calibri" w:hAnsi="Calibri" w:cs="Simplified Arabic"/>
          <w:sz w:val="28"/>
          <w:szCs w:val="28"/>
          <w:rtl/>
        </w:rPr>
      </w:pPr>
      <w:r>
        <w:rPr>
          <w:rFonts w:ascii="Arial" w:hAnsi="Arial" w:cs="Simplified Arabic" w:hint="cs"/>
          <w:sz w:val="28"/>
          <w:szCs w:val="28"/>
          <w:rtl/>
        </w:rPr>
        <w:t xml:space="preserve">اما </w:t>
      </w:r>
      <w:r w:rsidR="006E3377" w:rsidRPr="00A4327E">
        <w:rPr>
          <w:rFonts w:ascii="Arial" w:hAnsi="Arial" w:cs="Simplified Arabic" w:hint="cs"/>
          <w:sz w:val="28"/>
          <w:szCs w:val="28"/>
          <w:rtl/>
        </w:rPr>
        <w:t xml:space="preserve">بالنسبة إلى فورد، فإنّ استخدام هندسة "مصفوفة القيادة الكهربائية المعيارية" </w:t>
      </w:r>
      <w:r w:rsidR="006E3377" w:rsidRPr="00A4327E">
        <w:rPr>
          <w:rFonts w:ascii="Arial" w:hAnsi="Arial" w:cs="Simplified Arabic"/>
          <w:sz w:val="28"/>
          <w:szCs w:val="28"/>
        </w:rPr>
        <w:t>MEB</w:t>
      </w:r>
      <w:r w:rsidR="006E3377" w:rsidRPr="00A4327E">
        <w:rPr>
          <w:rFonts w:ascii="Arial" w:hAnsi="Arial" w:cs="Simplified Arabic" w:hint="cs"/>
          <w:sz w:val="28"/>
          <w:szCs w:val="28"/>
          <w:rtl/>
        </w:rPr>
        <w:t xml:space="preserve"> من فولكس واغن يشكّل جزءاً من استثمارها في المركبات الكهربائية حول العالم الذي يتخطّى 11,5 مليار دولار، كما يدعم التزام فورد بتقديم مجموعة واسعة من المركبات الكهربائية إلى عملائها الأوروبيين مع تلبية التزاماتها الخاصة بالاستدامة.</w:t>
      </w:r>
    </w:p>
    <w:p w14:paraId="78FA2A4F" w14:textId="77777777" w:rsidR="006E3377" w:rsidRPr="00A4327E" w:rsidRDefault="006E3377">
      <w:pPr>
        <w:rPr>
          <w:rFonts w:ascii="Arial" w:eastAsia="Arial" w:hAnsi="Arial" w:cs="Simplified Arabic"/>
          <w:sz w:val="28"/>
          <w:szCs w:val="28"/>
        </w:rPr>
      </w:pPr>
    </w:p>
    <w:p w14:paraId="30360426" w14:textId="5682B104" w:rsidR="006F16B7" w:rsidRPr="00A4327E" w:rsidRDefault="008B2A4A" w:rsidP="00E60DEB">
      <w:pPr>
        <w:bidi/>
        <w:rPr>
          <w:rFonts w:ascii="Arial" w:eastAsia="Arial" w:hAnsi="Arial" w:cs="Simplified Arabic"/>
          <w:sz w:val="28"/>
          <w:szCs w:val="28"/>
          <w:rtl/>
        </w:rPr>
      </w:pPr>
      <w:r w:rsidRPr="00A4327E">
        <w:rPr>
          <w:rFonts w:ascii="Arial" w:hAnsi="Arial" w:cs="Simplified Arabic" w:hint="cs"/>
          <w:sz w:val="28"/>
          <w:szCs w:val="28"/>
          <w:rtl/>
        </w:rPr>
        <w:t xml:space="preserve">وقال دايس: "إذا تطلّعنا إلى المستقبل، فسنجد أنّ البيئة والمزيد من العملاء سيستفيدون من هندسة المركبات الكهربائية الرائدة في القطاع في سيارة فولكس واغن. فقد بدأ تحالفنا العالمي يظهر نتائج واعدة أكثر، كما أننا نواصل النظر إلى مجالات أخرى من الممكن أن نتعاون عليها. يساهم توسيع نطاق مصفوفة القيادة الكهربائية المعيارية </w:t>
      </w:r>
      <w:r w:rsidRPr="00A4327E">
        <w:rPr>
          <w:rFonts w:ascii="Arial" w:hAnsi="Arial" w:cs="Simplified Arabic"/>
          <w:sz w:val="28"/>
          <w:szCs w:val="28"/>
        </w:rPr>
        <w:t>MEB</w:t>
      </w:r>
      <w:r w:rsidRPr="00A4327E">
        <w:rPr>
          <w:rFonts w:ascii="Arial" w:hAnsi="Arial" w:cs="Simplified Arabic" w:hint="cs"/>
          <w:sz w:val="28"/>
          <w:szCs w:val="28"/>
          <w:rtl/>
        </w:rPr>
        <w:t xml:space="preserve"> في خفض تكاليف تطوير المركبات التي لا تسبّب أيّ انبعاثات، ما يسمح باعتماد المركبات الكهربائية على نطاق أوسع وبشكل أسرع. ويحسّن هذا موقع كلتا الشركتين عبر تعزيز كفاءات رأس المال وتحقيق المزيد من النموّ وتحسين قدراتهما التنافسية".</w:t>
      </w:r>
    </w:p>
    <w:p w14:paraId="2349EB91" w14:textId="77777777" w:rsidR="006F16B7" w:rsidRPr="00A4327E" w:rsidRDefault="006F16B7">
      <w:pPr>
        <w:rPr>
          <w:rFonts w:ascii="Arial" w:eastAsia="Arial" w:hAnsi="Arial" w:cs="Simplified Arabic"/>
          <w:sz w:val="28"/>
          <w:szCs w:val="28"/>
        </w:rPr>
      </w:pPr>
    </w:p>
    <w:p w14:paraId="65DED145" w14:textId="15D47655"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يغطّي التحالف التعاون خارج إطار الاستثمارات المشتركة بين فولكس واغن وفورد ولكنه لا ينطوي على ملكية مشتركة بين الشركتين وهو مستقل عن الاستثمار في "آرغو إيه آي" </w:t>
      </w:r>
      <w:r w:rsidRPr="00A4327E">
        <w:rPr>
          <w:rFonts w:ascii="Arial" w:hAnsi="Arial" w:cs="Simplified Arabic"/>
          <w:sz w:val="28"/>
          <w:szCs w:val="28"/>
        </w:rPr>
        <w:t>Argo AI</w:t>
      </w:r>
      <w:r w:rsidRPr="00A4327E">
        <w:rPr>
          <w:rFonts w:ascii="Arial" w:hAnsi="Arial" w:cs="Simplified Arabic" w:hint="cs"/>
          <w:sz w:val="28"/>
          <w:szCs w:val="28"/>
          <w:rtl/>
        </w:rPr>
        <w:t>. ويخضع التحالف إلى لجنة مشتركة بقيادة هاكيت ودايس تضم كبار المدراء التنفيذيين من كلتا الشركتين.</w:t>
      </w:r>
    </w:p>
    <w:p w14:paraId="665A7FEB" w14:textId="511DA6F1" w:rsidR="00450521" w:rsidRPr="00A4327E" w:rsidRDefault="00450521">
      <w:pPr>
        <w:rPr>
          <w:rFonts w:ascii="Arial" w:eastAsia="Arial" w:hAnsi="Arial" w:cs="Simplified Arabic"/>
          <w:sz w:val="28"/>
          <w:szCs w:val="28"/>
        </w:rPr>
      </w:pPr>
    </w:p>
    <w:p w14:paraId="53732B7B" w14:textId="77777777" w:rsidR="00021791" w:rsidRDefault="008B2A4A">
      <w:pPr>
        <w:bidi/>
        <w:rPr>
          <w:rFonts w:ascii="Arial" w:hAnsi="Arial" w:cs="Simplified Arabic"/>
          <w:sz w:val="28"/>
          <w:szCs w:val="28"/>
          <w:rtl/>
        </w:rPr>
      </w:pPr>
      <w:r w:rsidRPr="00A4327E">
        <w:rPr>
          <w:rFonts w:ascii="Arial" w:hAnsi="Arial" w:cs="Simplified Arabic" w:hint="cs"/>
          <w:sz w:val="28"/>
          <w:szCs w:val="28"/>
          <w:rtl/>
        </w:rPr>
        <w:t xml:space="preserve"> كما تعمل الشركتان على توفير شاحنات البيك أب المتوسطة الحجم للعملاء العالميين بدءاً من 2022 يليها الفانات التجارية.</w:t>
      </w:r>
    </w:p>
    <w:p w14:paraId="26C11F87" w14:textId="77777777" w:rsidR="00987F30" w:rsidRPr="00A4327E" w:rsidRDefault="00987F30" w:rsidP="00987F30">
      <w:pPr>
        <w:bidi/>
        <w:rPr>
          <w:rFonts w:ascii="Arial" w:eastAsia="Arial" w:hAnsi="Arial" w:cs="Simplified Arabic"/>
          <w:sz w:val="28"/>
          <w:szCs w:val="28"/>
          <w:rtl/>
        </w:rPr>
      </w:pPr>
    </w:p>
    <w:p w14:paraId="0457F085" w14:textId="77777777" w:rsidR="006F16B7" w:rsidRPr="00A4327E" w:rsidRDefault="006F16B7">
      <w:pPr>
        <w:rPr>
          <w:rFonts w:ascii="Arial" w:eastAsia="Arial" w:hAnsi="Arial" w:cs="Simplified Arabic"/>
          <w:sz w:val="28"/>
          <w:szCs w:val="28"/>
        </w:rPr>
      </w:pPr>
    </w:p>
    <w:p w14:paraId="3CB2C1D5" w14:textId="77777777" w:rsidR="006F16B7" w:rsidRPr="00A4327E" w:rsidRDefault="008B2A4A">
      <w:pPr>
        <w:bidi/>
        <w:rPr>
          <w:rFonts w:ascii="Arial" w:eastAsia="Arial" w:hAnsi="Arial" w:cs="Simplified Arabic"/>
          <w:b/>
          <w:sz w:val="28"/>
          <w:szCs w:val="28"/>
          <w:rtl/>
        </w:rPr>
      </w:pPr>
      <w:r w:rsidRPr="00A4327E">
        <w:rPr>
          <w:rFonts w:ascii="Arial" w:hAnsi="Arial" w:cs="Simplified Arabic" w:hint="cs"/>
          <w:bCs/>
          <w:sz w:val="28"/>
          <w:szCs w:val="28"/>
          <w:rtl/>
        </w:rPr>
        <w:lastRenderedPageBreak/>
        <w:t>حاملو أسهم متساوية في "آرغو إيه آي"</w:t>
      </w:r>
      <w:r w:rsidRPr="00A4327E">
        <w:rPr>
          <w:rFonts w:ascii="Arial" w:hAnsi="Arial" w:cs="Simplified Arabic" w:hint="cs"/>
          <w:b/>
          <w:sz w:val="28"/>
          <w:szCs w:val="28"/>
          <w:rtl/>
        </w:rPr>
        <w:t xml:space="preserve"> </w:t>
      </w:r>
      <w:r w:rsidRPr="00A4327E">
        <w:rPr>
          <w:rFonts w:ascii="Arial" w:hAnsi="Arial" w:cs="Simplified Arabic"/>
          <w:b/>
          <w:sz w:val="28"/>
          <w:szCs w:val="28"/>
        </w:rPr>
        <w:t>Argo AI</w:t>
      </w:r>
    </w:p>
    <w:p w14:paraId="30C2E5F7" w14:textId="77777777" w:rsidR="006F16B7" w:rsidRPr="00A4327E" w:rsidRDefault="006F16B7">
      <w:pPr>
        <w:rPr>
          <w:rFonts w:ascii="Arial" w:eastAsia="Arial" w:hAnsi="Arial" w:cs="Simplified Arabic"/>
          <w:b/>
          <w:sz w:val="28"/>
          <w:szCs w:val="28"/>
        </w:rPr>
      </w:pPr>
    </w:p>
    <w:p w14:paraId="3FFD098D" w14:textId="0C7B3541" w:rsidR="006F16B7" w:rsidRPr="00A4327E" w:rsidRDefault="008B2A4A" w:rsidP="00E60DEB">
      <w:pPr>
        <w:bidi/>
        <w:rPr>
          <w:rFonts w:ascii="Arial" w:eastAsia="Arial" w:hAnsi="Arial" w:cs="Simplified Arabic"/>
          <w:sz w:val="28"/>
          <w:szCs w:val="28"/>
          <w:rtl/>
        </w:rPr>
      </w:pPr>
      <w:r w:rsidRPr="00A4327E">
        <w:rPr>
          <w:rFonts w:ascii="Arial" w:hAnsi="Arial" w:cs="Simplified Arabic" w:hint="cs"/>
          <w:sz w:val="28"/>
          <w:szCs w:val="28"/>
          <w:rtl/>
        </w:rPr>
        <w:t xml:space="preserve">تستثمر فولكس واغن 2،6 مليار دولار في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عبر إيداع مليار دولار كتمويل والمساهمة بشركتها </w:t>
      </w:r>
      <w:r w:rsidRPr="00A4327E">
        <w:rPr>
          <w:rFonts w:ascii="Arial" w:hAnsi="Arial" w:cs="Simplified Arabic"/>
          <w:sz w:val="28"/>
          <w:szCs w:val="28"/>
        </w:rPr>
        <w:t>AID</w:t>
      </w:r>
      <w:r w:rsidRPr="00A4327E">
        <w:rPr>
          <w:rFonts w:ascii="Arial" w:hAnsi="Arial" w:cs="Simplified Arabic" w:hint="cs"/>
          <w:sz w:val="28"/>
          <w:szCs w:val="28"/>
          <w:rtl/>
        </w:rPr>
        <w:t xml:space="preserve"> للقيادة الذاتية الذكية التي تساوي 1,6 مليار دولار والتي تضمّ أكثر من مئتي موظف يعمل معظمهم على تطوير تكنولوجيا القيادة الذاتية لحساب مجموعة فولكس واغن.  </w:t>
      </w:r>
    </w:p>
    <w:p w14:paraId="69643160" w14:textId="77777777" w:rsidR="006F16B7" w:rsidRPr="00A4327E" w:rsidRDefault="006F16B7">
      <w:pPr>
        <w:rPr>
          <w:rFonts w:ascii="Arial" w:eastAsia="Arial" w:hAnsi="Arial" w:cs="Simplified Arabic"/>
          <w:sz w:val="28"/>
          <w:szCs w:val="28"/>
        </w:rPr>
      </w:pPr>
    </w:p>
    <w:p w14:paraId="43C710D5" w14:textId="61242290" w:rsidR="00B32FFF" w:rsidRPr="00A4327E" w:rsidRDefault="005B7CEC" w:rsidP="000F4308">
      <w:pPr>
        <w:bidi/>
        <w:rPr>
          <w:rFonts w:ascii="Arial" w:eastAsia="Arial" w:hAnsi="Arial" w:cs="Simplified Arabic"/>
          <w:sz w:val="28"/>
          <w:szCs w:val="28"/>
          <w:rtl/>
        </w:rPr>
      </w:pPr>
      <w:r w:rsidRPr="00A4327E">
        <w:rPr>
          <w:rFonts w:ascii="Arial" w:hAnsi="Arial" w:cs="Simplified Arabic" w:hint="cs"/>
          <w:sz w:val="28"/>
          <w:szCs w:val="28"/>
          <w:rtl/>
        </w:rPr>
        <w:t xml:space="preserve">كجزء من الصفقة، ستتولى فولكس واغن أيضاً شراء أسهم في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من فورد بقيمة 500 مليون دولار خلال ثلاثة أعوام. أما فورد فستستثمر 600 ملي</w:t>
      </w:r>
      <w:r w:rsidR="000F4308">
        <w:rPr>
          <w:rFonts w:ascii="Arial" w:hAnsi="Arial" w:cs="Simplified Arabic" w:hint="cs"/>
          <w:sz w:val="28"/>
          <w:szCs w:val="28"/>
          <w:rtl/>
        </w:rPr>
        <w:t>ون</w:t>
      </w:r>
      <w:r w:rsidRPr="00A4327E">
        <w:rPr>
          <w:rFonts w:ascii="Arial" w:hAnsi="Arial" w:cs="Simplified Arabic" w:hint="cs"/>
          <w:sz w:val="28"/>
          <w:szCs w:val="28"/>
          <w:rtl/>
        </w:rPr>
        <w:t xml:space="preserve"> دولار، وهو المبلغ المتبقّي من المليار دولار نقداً الذي أعلنت عنه سابقاً كالتزام في "آرغو إيه آي" </w:t>
      </w:r>
      <w:r w:rsidRPr="00A4327E">
        <w:rPr>
          <w:rFonts w:ascii="Arial" w:hAnsi="Arial" w:cs="Simplified Arabic"/>
          <w:sz w:val="28"/>
          <w:szCs w:val="28"/>
        </w:rPr>
        <w:t>Argo AI</w:t>
      </w:r>
      <w:r w:rsidRPr="00A4327E">
        <w:rPr>
          <w:rFonts w:ascii="Arial" w:hAnsi="Arial" w:cs="Simplified Arabic" w:hint="cs"/>
          <w:sz w:val="28"/>
          <w:szCs w:val="28"/>
          <w:rtl/>
        </w:rPr>
        <w:t>.</w:t>
      </w:r>
    </w:p>
    <w:p w14:paraId="46DD96DE" w14:textId="77777777" w:rsidR="00625FF2"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 </w:t>
      </w:r>
    </w:p>
    <w:p w14:paraId="3DF1942C" w14:textId="7D0CEF3B" w:rsidR="006F16B7" w:rsidRPr="00A4327E" w:rsidRDefault="008B2A4A" w:rsidP="005C6DB2">
      <w:pPr>
        <w:bidi/>
        <w:rPr>
          <w:rFonts w:ascii="Arial" w:eastAsia="Arial" w:hAnsi="Arial" w:cs="Simplified Arabic"/>
          <w:sz w:val="28"/>
          <w:szCs w:val="28"/>
          <w:rtl/>
        </w:rPr>
      </w:pPr>
      <w:r w:rsidRPr="00A4327E">
        <w:rPr>
          <w:rFonts w:ascii="Arial" w:hAnsi="Arial" w:cs="Simplified Arabic" w:hint="cs"/>
          <w:sz w:val="28"/>
          <w:szCs w:val="28"/>
          <w:rtl/>
        </w:rPr>
        <w:t xml:space="preserve"> تمثل الصفقة التامة تقييم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بأكثر من 7 مليار دولار.</w:t>
      </w:r>
    </w:p>
    <w:p w14:paraId="77CE276F" w14:textId="77777777" w:rsidR="006F16B7" w:rsidRPr="00A4327E" w:rsidRDefault="006F16B7">
      <w:pPr>
        <w:rPr>
          <w:rFonts w:ascii="Arial" w:eastAsia="Arial" w:hAnsi="Arial" w:cs="Simplified Arabic"/>
          <w:sz w:val="28"/>
          <w:szCs w:val="28"/>
        </w:rPr>
      </w:pPr>
    </w:p>
    <w:p w14:paraId="3ACBCA28" w14:textId="402C730F"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 ترى كلتا شركتي تصنيع السيارات إمكانيات بارزة، بما فيها النموّ المربح عبر خوض مجالات أعمال جديدة مرتبطة بتكنولوجيا القيادة الذاتية.</w:t>
      </w:r>
    </w:p>
    <w:p w14:paraId="37172BAF" w14:textId="77777777" w:rsidR="006F16B7" w:rsidRPr="00A4327E" w:rsidRDefault="006F16B7">
      <w:pPr>
        <w:rPr>
          <w:rFonts w:ascii="Arial" w:eastAsia="Arial" w:hAnsi="Arial" w:cs="Simplified Arabic"/>
          <w:sz w:val="28"/>
          <w:szCs w:val="28"/>
        </w:rPr>
      </w:pPr>
    </w:p>
    <w:p w14:paraId="0EF3B989" w14:textId="77777777"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 تنوي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العمل بشكل وثيق مع فورد وفولكس واغن لتأمين تكنولوجيا السيارات الذاتية القيادة التي تحتاج إليها شركتي تصنيع السيارات لتوفير مركبات ذاتية القيادة متكاملة يمكن تصنيعها على نطاق واسع بهدف طرحها بأمان وموثوقية ومتانة في خدمات مشاركة وسائل النقل وتوصيل السلع.</w:t>
      </w:r>
    </w:p>
    <w:p w14:paraId="372171E5" w14:textId="77777777" w:rsidR="00A06856" w:rsidRPr="00A4327E" w:rsidRDefault="00A06856">
      <w:pPr>
        <w:rPr>
          <w:rFonts w:ascii="Arial" w:eastAsia="Arial" w:hAnsi="Arial" w:cs="Simplified Arabic"/>
          <w:sz w:val="28"/>
          <w:szCs w:val="28"/>
        </w:rPr>
      </w:pPr>
    </w:p>
    <w:p w14:paraId="191B2FB7" w14:textId="1E16B542" w:rsidR="006F16B7" w:rsidRPr="00A4327E" w:rsidRDefault="008B2A4A">
      <w:pPr>
        <w:bidi/>
        <w:rPr>
          <w:rFonts w:ascii="Arial" w:eastAsia="Arial" w:hAnsi="Arial" w:cs="Simplified Arabic"/>
          <w:sz w:val="28"/>
          <w:szCs w:val="28"/>
          <w:rtl/>
        </w:rPr>
      </w:pPr>
      <w:r w:rsidRPr="00A4327E">
        <w:rPr>
          <w:rFonts w:ascii="Arial" w:hAnsi="Arial" w:cs="Simplified Arabic" w:hint="cs"/>
          <w:color w:val="000000"/>
          <w:sz w:val="28"/>
          <w:szCs w:val="28"/>
          <w:rtl/>
        </w:rPr>
        <w:t xml:space="preserve"> وقال ساليسكي المؤسس الشريك لشركة "آرغو إيه آي" </w:t>
      </w:r>
      <w:r w:rsidRPr="00A4327E">
        <w:rPr>
          <w:rFonts w:ascii="Arial" w:hAnsi="Arial" w:cs="Simplified Arabic"/>
          <w:color w:val="000000"/>
          <w:sz w:val="28"/>
          <w:szCs w:val="28"/>
        </w:rPr>
        <w:t>Argo AI</w:t>
      </w:r>
      <w:r w:rsidRPr="00A4327E">
        <w:rPr>
          <w:rFonts w:ascii="Arial" w:hAnsi="Arial" w:cs="Simplified Arabic" w:hint="cs"/>
          <w:color w:val="000000"/>
          <w:sz w:val="28"/>
          <w:szCs w:val="28"/>
          <w:rtl/>
        </w:rPr>
        <w:t xml:space="preserve">: "لحسن حظ شركتنا، لدينا فريق عالمي المستوى بفضل مهمتنا الواضحة والتزام شركائنا بنشر المركبات. وبالتعاون مع موظفي </w:t>
      </w:r>
      <w:r w:rsidRPr="00A4327E">
        <w:rPr>
          <w:rFonts w:ascii="Arial" w:hAnsi="Arial" w:cs="Simplified Arabic"/>
          <w:color w:val="000000"/>
          <w:sz w:val="28"/>
          <w:szCs w:val="28"/>
        </w:rPr>
        <w:t>AID</w:t>
      </w:r>
      <w:r w:rsidRPr="00A4327E">
        <w:rPr>
          <w:rFonts w:ascii="Arial" w:hAnsi="Arial" w:cs="Simplified Arabic" w:hint="cs"/>
          <w:color w:val="000000"/>
          <w:sz w:val="28"/>
          <w:szCs w:val="28"/>
          <w:rtl/>
        </w:rPr>
        <w:t xml:space="preserve">، ستكون لدينا قوى عاملة عالمية لاستقطاب المزيد من أفضل المواهب. بالإضافة إلى ذلك، قد تصل تكنولوجيا "آرغو إيه آي" </w:t>
      </w:r>
      <w:r w:rsidRPr="00A4327E">
        <w:rPr>
          <w:rFonts w:ascii="Arial" w:hAnsi="Arial" w:cs="Simplified Arabic"/>
          <w:color w:val="000000"/>
          <w:sz w:val="28"/>
          <w:szCs w:val="28"/>
        </w:rPr>
        <w:t>Argo AI</w:t>
      </w:r>
      <w:r w:rsidRPr="00A4327E">
        <w:rPr>
          <w:rFonts w:ascii="Arial" w:hAnsi="Arial" w:cs="Simplified Arabic" w:hint="cs"/>
          <w:color w:val="000000"/>
          <w:sz w:val="28"/>
          <w:szCs w:val="28"/>
          <w:rtl/>
        </w:rPr>
        <w:t xml:space="preserve"> ذات يوم، بفضل فورد وفولكس واغن، إلى كل سوق في أميركا الشمالية وأوروبا بحيث تستخدمها علامات متنوّعة ضمن هندسات متعدّدة من المركبات".</w:t>
      </w:r>
    </w:p>
    <w:p w14:paraId="43024AEF" w14:textId="6C2F9B8C" w:rsidR="006F16B7" w:rsidRPr="00A4327E" w:rsidRDefault="000F4308" w:rsidP="000F4308">
      <w:pPr>
        <w:tabs>
          <w:tab w:val="left" w:pos="3600"/>
        </w:tabs>
        <w:rPr>
          <w:rFonts w:ascii="Arial" w:eastAsia="Arial" w:hAnsi="Arial" w:cs="Simplified Arabic"/>
          <w:sz w:val="28"/>
          <w:szCs w:val="28"/>
        </w:rPr>
      </w:pPr>
      <w:r>
        <w:rPr>
          <w:rFonts w:ascii="Arial" w:eastAsia="Arial" w:hAnsi="Arial" w:cs="Simplified Arabic"/>
          <w:sz w:val="28"/>
          <w:szCs w:val="28"/>
        </w:rPr>
        <w:tab/>
      </w:r>
    </w:p>
    <w:p w14:paraId="52AFB025" w14:textId="651EDDCB" w:rsidR="00885959" w:rsidRPr="00A4327E" w:rsidRDefault="00885959" w:rsidP="00885959">
      <w:pPr>
        <w:pStyle w:val="CommentText"/>
        <w:bidi/>
        <w:rPr>
          <w:rFonts w:cs="Simplified Arabic"/>
          <w:sz w:val="28"/>
          <w:szCs w:val="28"/>
          <w:rtl/>
        </w:rPr>
      </w:pPr>
      <w:r w:rsidRPr="00A4327E">
        <w:rPr>
          <w:rFonts w:ascii="Arial" w:hAnsi="Arial" w:cs="Simplified Arabic" w:hint="cs"/>
          <w:sz w:val="28"/>
          <w:szCs w:val="28"/>
          <w:rtl/>
        </w:rPr>
        <w:t xml:space="preserve"> يقع مقرّ </w:t>
      </w:r>
      <w:r w:rsidRPr="00A4327E">
        <w:rPr>
          <w:rFonts w:ascii="Arial" w:hAnsi="Arial" w:cs="Simplified Arabic"/>
          <w:sz w:val="28"/>
          <w:szCs w:val="28"/>
        </w:rPr>
        <w:t>AID</w:t>
      </w:r>
      <w:r w:rsidRPr="00A4327E">
        <w:rPr>
          <w:rFonts w:ascii="Arial" w:hAnsi="Arial" w:cs="Simplified Arabic" w:hint="cs"/>
          <w:sz w:val="28"/>
          <w:szCs w:val="28"/>
          <w:rtl/>
        </w:rPr>
        <w:t xml:space="preserve"> في ميونيخ</w:t>
      </w:r>
      <w:r w:rsidR="000F4308">
        <w:rPr>
          <w:rFonts w:ascii="Arial" w:hAnsi="Arial" w:cs="Simplified Arabic" w:hint="cs"/>
          <w:sz w:val="28"/>
          <w:szCs w:val="28"/>
          <w:rtl/>
        </w:rPr>
        <w:t>،</w:t>
      </w:r>
      <w:r w:rsidRPr="00A4327E">
        <w:rPr>
          <w:rFonts w:ascii="Arial" w:hAnsi="Arial" w:cs="Simplified Arabic" w:hint="cs"/>
          <w:sz w:val="28"/>
          <w:szCs w:val="28"/>
          <w:rtl/>
        </w:rPr>
        <w:t xml:space="preserve"> في ألمانيا</w:t>
      </w:r>
      <w:r w:rsidR="000F4308">
        <w:rPr>
          <w:rFonts w:ascii="Arial" w:hAnsi="Arial" w:cs="Simplified Arabic" w:hint="cs"/>
          <w:sz w:val="28"/>
          <w:szCs w:val="28"/>
          <w:rtl/>
        </w:rPr>
        <w:t>،</w:t>
      </w:r>
      <w:r w:rsidRPr="00A4327E">
        <w:rPr>
          <w:rFonts w:ascii="Arial" w:hAnsi="Arial" w:cs="Simplified Arabic" w:hint="cs"/>
          <w:sz w:val="28"/>
          <w:szCs w:val="28"/>
          <w:rtl/>
        </w:rPr>
        <w:t xml:space="preserve"> وستصبح المقر الرئيسي الأوروبي لشركة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بقيادة مدير </w:t>
      </w:r>
      <w:r w:rsidRPr="00A4327E">
        <w:rPr>
          <w:rFonts w:ascii="Arial" w:hAnsi="Arial" w:cs="Simplified Arabic"/>
          <w:sz w:val="28"/>
          <w:szCs w:val="28"/>
        </w:rPr>
        <w:t>AID</w:t>
      </w:r>
      <w:r w:rsidRPr="00A4327E">
        <w:rPr>
          <w:rFonts w:ascii="Arial" w:hAnsi="Arial" w:cs="Simplified Arabic" w:hint="cs"/>
          <w:sz w:val="28"/>
          <w:szCs w:val="28"/>
          <w:rtl/>
        </w:rPr>
        <w:t xml:space="preserve"> التنفيذي الأعلى الحالي، كارلهاينز وورم. ومع ضم موظفي </w:t>
      </w:r>
      <w:r w:rsidRPr="00A4327E">
        <w:rPr>
          <w:rFonts w:ascii="Arial" w:hAnsi="Arial" w:cs="Simplified Arabic"/>
          <w:sz w:val="28"/>
          <w:szCs w:val="28"/>
        </w:rPr>
        <w:t>AID</w:t>
      </w:r>
      <w:r w:rsidRPr="00A4327E">
        <w:rPr>
          <w:rFonts w:ascii="Arial" w:hAnsi="Arial" w:cs="Simplified Arabic" w:hint="cs"/>
          <w:sz w:val="28"/>
          <w:szCs w:val="28"/>
          <w:rtl/>
        </w:rPr>
        <w:t xml:space="preserve">، سينمو عدد موظفي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من 500 إلى أكثر من 700 حول العالم.</w:t>
      </w:r>
    </w:p>
    <w:p w14:paraId="39055D60" w14:textId="426F4122" w:rsidR="00885959" w:rsidRPr="00A4327E" w:rsidRDefault="00885959" w:rsidP="00885959">
      <w:pPr>
        <w:rPr>
          <w:rFonts w:cs="Simplified Arabic"/>
          <w:sz w:val="28"/>
          <w:szCs w:val="28"/>
          <w:lang w:val="de-DE"/>
        </w:rPr>
      </w:pPr>
    </w:p>
    <w:p w14:paraId="1DDBEEDD" w14:textId="6A698F9D" w:rsidR="00885959" w:rsidRPr="00A4327E" w:rsidRDefault="00885959" w:rsidP="00885959">
      <w:pPr>
        <w:bidi/>
        <w:rPr>
          <w:rFonts w:cs="Simplified Arabic"/>
          <w:sz w:val="28"/>
          <w:szCs w:val="28"/>
          <w:rtl/>
        </w:rPr>
      </w:pPr>
      <w:r w:rsidRPr="00A4327E">
        <w:rPr>
          <w:rFonts w:ascii="Arial" w:hAnsi="Arial" w:cs="Simplified Arabic" w:hint="cs"/>
          <w:sz w:val="28"/>
          <w:szCs w:val="28"/>
          <w:rtl/>
        </w:rPr>
        <w:lastRenderedPageBreak/>
        <w:t xml:space="preserve">بالإضافة إلى مقرّها العالمي في بيتسبورغ، ولاية بنسلفانيا، يشكّل الموقع الجديد أول مركز هندسة لشركة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في أوروبا والخامس عالمياً بالإضافة إلى ديربورن في ولاية ميشيغان، وكرانبوري في ولاية نيو جيرسي، وبالو ألتو في ولاية كاليفورنيا. كما تتعاون "آرغو إيه آي" </w:t>
      </w:r>
      <w:r w:rsidRPr="00A4327E">
        <w:rPr>
          <w:rFonts w:ascii="Arial" w:hAnsi="Arial" w:cs="Simplified Arabic"/>
          <w:sz w:val="28"/>
          <w:szCs w:val="28"/>
        </w:rPr>
        <w:t>Argo AI</w:t>
      </w:r>
      <w:r w:rsidRPr="00A4327E">
        <w:rPr>
          <w:rFonts w:ascii="Arial" w:hAnsi="Arial" w:cs="Simplified Arabic" w:hint="cs"/>
          <w:sz w:val="28"/>
          <w:szCs w:val="28"/>
          <w:rtl/>
        </w:rPr>
        <w:t xml:space="preserve"> مع فورد لاختبار التكنولوجيا في ميامي وواشنطن العاصمة، حيث تنوي الشركتان طرح الخدمات التجارية.</w:t>
      </w:r>
    </w:p>
    <w:p w14:paraId="51CDB1CC" w14:textId="77777777" w:rsidR="006F16B7" w:rsidRPr="00A4327E" w:rsidRDefault="006F16B7">
      <w:pPr>
        <w:rPr>
          <w:rFonts w:ascii="Arial" w:eastAsia="Arial" w:hAnsi="Arial" w:cs="Simplified Arabic"/>
          <w:b/>
          <w:sz w:val="28"/>
          <w:szCs w:val="28"/>
        </w:rPr>
      </w:pPr>
    </w:p>
    <w:p w14:paraId="5B2AAFF5" w14:textId="77777777" w:rsidR="006F16B7" w:rsidRPr="000F4308" w:rsidRDefault="008B2A4A">
      <w:pPr>
        <w:bidi/>
        <w:rPr>
          <w:rFonts w:ascii="Arial" w:eastAsia="Arial" w:hAnsi="Arial" w:cs="Simplified Arabic"/>
          <w:bCs/>
          <w:sz w:val="28"/>
          <w:szCs w:val="28"/>
          <w:rtl/>
        </w:rPr>
      </w:pPr>
      <w:r w:rsidRPr="000F4308">
        <w:rPr>
          <w:rFonts w:ascii="Arial" w:hAnsi="Arial" w:cs="Simplified Arabic" w:hint="cs"/>
          <w:bCs/>
          <w:sz w:val="28"/>
          <w:szCs w:val="28"/>
          <w:rtl/>
        </w:rPr>
        <w:t>فورد ستستخدم هندسة "مصفوفة القيادة الكهربائية المعيارية"</w:t>
      </w:r>
      <w:r w:rsidRPr="00A4327E">
        <w:rPr>
          <w:rFonts w:ascii="Arial" w:hAnsi="Arial" w:cs="Simplified Arabic" w:hint="cs"/>
          <w:b/>
          <w:sz w:val="28"/>
          <w:szCs w:val="28"/>
          <w:rtl/>
        </w:rPr>
        <w:t xml:space="preserve"> </w:t>
      </w:r>
      <w:r w:rsidRPr="00A4327E">
        <w:rPr>
          <w:rFonts w:ascii="Arial" w:hAnsi="Arial" w:cs="Simplified Arabic"/>
          <w:b/>
          <w:sz w:val="28"/>
          <w:szCs w:val="28"/>
        </w:rPr>
        <w:t>MEB</w:t>
      </w:r>
      <w:r w:rsidRPr="00A4327E">
        <w:rPr>
          <w:rFonts w:ascii="Arial" w:hAnsi="Arial" w:cs="Simplified Arabic" w:hint="cs"/>
          <w:b/>
          <w:sz w:val="28"/>
          <w:szCs w:val="28"/>
          <w:rtl/>
        </w:rPr>
        <w:t xml:space="preserve"> </w:t>
      </w:r>
      <w:r w:rsidRPr="000F4308">
        <w:rPr>
          <w:rFonts w:ascii="Arial" w:hAnsi="Arial" w:cs="Simplified Arabic" w:hint="cs"/>
          <w:bCs/>
          <w:sz w:val="28"/>
          <w:szCs w:val="28"/>
          <w:rtl/>
        </w:rPr>
        <w:t>من فولكس واغن في 600 ألف مركبة</w:t>
      </w:r>
    </w:p>
    <w:p w14:paraId="0FAD2379" w14:textId="77777777" w:rsidR="006F16B7" w:rsidRPr="00A4327E" w:rsidRDefault="006F16B7">
      <w:pPr>
        <w:rPr>
          <w:rFonts w:ascii="Arial" w:eastAsia="Arial" w:hAnsi="Arial" w:cs="Simplified Arabic"/>
          <w:b/>
          <w:sz w:val="28"/>
          <w:szCs w:val="28"/>
        </w:rPr>
      </w:pPr>
    </w:p>
    <w:p w14:paraId="003687CB" w14:textId="77777777"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 xml:space="preserve">تنوي فورد تصميم طراز جديد كلياً من المركبات الكهربائية المرتكزة على منصة "مصفوفة القيادة الكهربائية المعيارية" </w:t>
      </w:r>
      <w:r w:rsidRPr="00A4327E">
        <w:rPr>
          <w:rFonts w:ascii="Arial" w:hAnsi="Arial" w:cs="Simplified Arabic"/>
          <w:sz w:val="28"/>
          <w:szCs w:val="28"/>
        </w:rPr>
        <w:t>MEB</w:t>
      </w:r>
      <w:r w:rsidRPr="00A4327E">
        <w:rPr>
          <w:rFonts w:ascii="Arial" w:hAnsi="Arial" w:cs="Simplified Arabic" w:hint="cs"/>
          <w:sz w:val="28"/>
          <w:szCs w:val="28"/>
          <w:rtl/>
        </w:rPr>
        <w:t xml:space="preserve"> وسيبدأ وصولها عام 2023 إلى كولن-ميركينيخ في ألمانيا. وستقدّم فولكس واغن قطع ومكوّنات </w:t>
      </w:r>
      <w:r w:rsidRPr="00A4327E">
        <w:rPr>
          <w:rFonts w:ascii="Arial" w:hAnsi="Arial" w:cs="Simplified Arabic"/>
          <w:sz w:val="28"/>
          <w:szCs w:val="28"/>
        </w:rPr>
        <w:t>MEB</w:t>
      </w:r>
      <w:r w:rsidRPr="00A4327E">
        <w:rPr>
          <w:rFonts w:ascii="Arial" w:hAnsi="Arial" w:cs="Simplified Arabic" w:hint="cs"/>
          <w:sz w:val="28"/>
          <w:szCs w:val="28"/>
          <w:rtl/>
        </w:rPr>
        <w:t xml:space="preserve"> كجزء من التعاون.</w:t>
      </w:r>
    </w:p>
    <w:p w14:paraId="47041804" w14:textId="77777777" w:rsidR="006F16B7" w:rsidRPr="00A4327E" w:rsidRDefault="006F16B7">
      <w:pPr>
        <w:rPr>
          <w:rFonts w:ascii="Arial" w:eastAsia="Arial" w:hAnsi="Arial" w:cs="Simplified Arabic"/>
          <w:sz w:val="28"/>
          <w:szCs w:val="28"/>
        </w:rPr>
      </w:pPr>
    </w:p>
    <w:p w14:paraId="031A1DD0" w14:textId="6DB6C4AB" w:rsidR="006F16B7" w:rsidRPr="00A4327E" w:rsidRDefault="00911161">
      <w:pPr>
        <w:bidi/>
        <w:rPr>
          <w:rFonts w:ascii="Arial" w:eastAsia="Arial" w:hAnsi="Arial" w:cs="Simplified Arabic"/>
          <w:sz w:val="28"/>
          <w:szCs w:val="28"/>
          <w:rtl/>
        </w:rPr>
      </w:pPr>
      <w:r>
        <w:rPr>
          <w:rFonts w:ascii="Arial" w:hAnsi="Arial" w:cs="Simplified Arabic" w:hint="cs"/>
          <w:sz w:val="28"/>
          <w:szCs w:val="28"/>
          <w:rtl/>
        </w:rPr>
        <w:t>و</w:t>
      </w:r>
      <w:r w:rsidR="008B2A4A" w:rsidRPr="00A4327E">
        <w:rPr>
          <w:rFonts w:ascii="Arial" w:hAnsi="Arial" w:cs="Simplified Arabic" w:hint="cs"/>
          <w:sz w:val="28"/>
          <w:szCs w:val="28"/>
          <w:rtl/>
        </w:rPr>
        <w:t>ستواصل كلتا الشركتين أيضاً استهداف مجالات إضافية  للعمل معاً على المركبات الكهربائية؛ وهذه أولوية استراتيجية أساسية لكلتا الشركتين فيما تسعيان إلى تسريع عملية الانتقال إلى وسائل النقل المستدامة والمعقولة السعر.</w:t>
      </w:r>
    </w:p>
    <w:p w14:paraId="1BF65396" w14:textId="77777777" w:rsidR="006F16B7" w:rsidRPr="00A4327E" w:rsidRDefault="006F16B7">
      <w:pPr>
        <w:rPr>
          <w:rFonts w:ascii="Arial" w:eastAsia="Arial" w:hAnsi="Arial" w:cs="Simplified Arabic"/>
          <w:sz w:val="28"/>
          <w:szCs w:val="28"/>
        </w:rPr>
      </w:pPr>
    </w:p>
    <w:p w14:paraId="53F15C9D" w14:textId="5F665802"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يشكّل الاتفاق مع فورد ركيزة لاستراتيجية فولكس واغن الخاصة بالمركبات الكهربائية إذ يدعم نموّ قطاع المركبات الكهربائية ويسهّل الجهود العالمية لتطبيق اتفاق "باريس المناخي 2050".</w:t>
      </w:r>
    </w:p>
    <w:p w14:paraId="6D7AC993" w14:textId="77777777" w:rsidR="006F16B7" w:rsidRPr="00A4327E" w:rsidRDefault="006F16B7">
      <w:pPr>
        <w:rPr>
          <w:rFonts w:ascii="Arial" w:eastAsia="Arial" w:hAnsi="Arial" w:cs="Simplified Arabic"/>
          <w:sz w:val="28"/>
          <w:szCs w:val="28"/>
        </w:rPr>
      </w:pPr>
    </w:p>
    <w:p w14:paraId="1A9404BD" w14:textId="77777777" w:rsidR="006F16B7" w:rsidRPr="000F4308" w:rsidRDefault="008B2A4A">
      <w:pPr>
        <w:bidi/>
        <w:rPr>
          <w:rFonts w:ascii="Arial" w:eastAsia="Arial" w:hAnsi="Arial" w:cs="Simplified Arabic"/>
          <w:bCs/>
          <w:sz w:val="28"/>
          <w:szCs w:val="28"/>
          <w:rtl/>
        </w:rPr>
      </w:pPr>
      <w:r w:rsidRPr="000F4308">
        <w:rPr>
          <w:rFonts w:ascii="Arial" w:hAnsi="Arial" w:cs="Simplified Arabic" w:hint="cs"/>
          <w:bCs/>
          <w:sz w:val="28"/>
          <w:szCs w:val="28"/>
          <w:rtl/>
        </w:rPr>
        <w:t xml:space="preserve"> التعاون على الفانات والبيك أب على الدرب السليم</w:t>
      </w:r>
    </w:p>
    <w:p w14:paraId="3B8695B6" w14:textId="77777777" w:rsidR="006F16B7" w:rsidRPr="00A4327E" w:rsidRDefault="006F16B7">
      <w:pPr>
        <w:rPr>
          <w:rFonts w:ascii="Arial" w:eastAsia="Arial" w:hAnsi="Arial" w:cs="Simplified Arabic"/>
          <w:sz w:val="28"/>
          <w:szCs w:val="28"/>
        </w:rPr>
      </w:pPr>
    </w:p>
    <w:p w14:paraId="352A32CC" w14:textId="7F3DC842" w:rsidR="006F16B7" w:rsidRPr="00A4327E" w:rsidRDefault="008B2A4A" w:rsidP="00B96AF4">
      <w:pPr>
        <w:bidi/>
        <w:rPr>
          <w:rFonts w:ascii="Arial" w:eastAsia="Arial" w:hAnsi="Arial" w:cs="Simplified Arabic"/>
          <w:sz w:val="28"/>
          <w:szCs w:val="28"/>
          <w:rtl/>
        </w:rPr>
      </w:pPr>
      <w:r w:rsidRPr="00A4327E">
        <w:rPr>
          <w:rFonts w:ascii="Arial" w:hAnsi="Arial" w:cs="Simplified Arabic" w:hint="cs"/>
          <w:sz w:val="28"/>
          <w:szCs w:val="28"/>
          <w:rtl/>
        </w:rPr>
        <w:t xml:space="preserve">ما زالت شركتا فورد وفولكس واغن على الدرب السليم في خطتهما المعلنة مسبقاً لتحسين كل منهما نقاط قوة الأخرى في الفانات التجارية وشاحنات البيك أب المتوسّطة الحجم في الأسواق العالمية الرئيسية. سيقدّم العمل على هاتين المجموعتين من المركبات فعالية بارزة لكلٍ من الشركتين.  </w:t>
      </w:r>
    </w:p>
    <w:p w14:paraId="2EEB811F" w14:textId="77777777" w:rsidR="00B35358" w:rsidRPr="00A4327E" w:rsidRDefault="00B35358">
      <w:pPr>
        <w:rPr>
          <w:rFonts w:ascii="Arial" w:eastAsia="Arial" w:hAnsi="Arial" w:cs="Simplified Arabic"/>
          <w:sz w:val="28"/>
          <w:szCs w:val="28"/>
        </w:rPr>
      </w:pPr>
    </w:p>
    <w:p w14:paraId="1BC540E8" w14:textId="77777777"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ستتولّى فورد هندسة وتمويل وبناء شاحنات البيك أب المتوسّطة الحجم المعلنة مسبقاً نيابةً عن كلتا الشركتين وتوفيرها للعملاء في أوروبا وأفريقيا والشرق الأوسط ومنطقة المحيط الهادىء الآسيوية وأميركا الجنوبية، بحيث من المتوقع أن يتم طرح الشاحنات في الأسواق الرئيسية بدءاً من 2022.</w:t>
      </w:r>
    </w:p>
    <w:p w14:paraId="3456E8FA" w14:textId="77777777"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lastRenderedPageBreak/>
        <w:t>كما تنوي فورد أن تتولّى، نيابةً عن كلتا الشركتين، هندسة وتمويل وبناء فانات تجارية أكبر حجماً للعملاء الأوروبيين بدءاً من 2022 بينما تنوي فولكس واغن تطوير وتمويل وبناء فان مدينة معدّ للبيع في أوروبا وأسواق عالمية محدّدة أخرى.</w:t>
      </w:r>
    </w:p>
    <w:p w14:paraId="05349EA8" w14:textId="77777777" w:rsidR="006F16B7" w:rsidRPr="00A4327E" w:rsidRDefault="006F16B7">
      <w:pPr>
        <w:rPr>
          <w:rFonts w:ascii="Arial" w:eastAsia="Arial" w:hAnsi="Arial" w:cs="Simplified Arabic"/>
          <w:sz w:val="28"/>
          <w:szCs w:val="28"/>
        </w:rPr>
      </w:pPr>
    </w:p>
    <w:p w14:paraId="4EB752B8" w14:textId="3DA70790" w:rsidR="006F16B7" w:rsidRPr="00A4327E" w:rsidRDefault="008B2A4A">
      <w:pPr>
        <w:bidi/>
        <w:rPr>
          <w:rFonts w:ascii="Arial" w:eastAsia="Arial" w:hAnsi="Arial" w:cs="Simplified Arabic"/>
          <w:sz w:val="28"/>
          <w:szCs w:val="28"/>
          <w:rtl/>
        </w:rPr>
      </w:pPr>
      <w:r w:rsidRPr="00A4327E">
        <w:rPr>
          <w:rFonts w:ascii="Arial" w:hAnsi="Arial" w:cs="Simplified Arabic" w:hint="cs"/>
          <w:sz w:val="28"/>
          <w:szCs w:val="28"/>
          <w:rtl/>
        </w:rPr>
        <w:t>تعدّ أعمال فولكس فاغن وفورد ناجحة ومتكاملة في الفانات التجارية والبيك أب حول العالم، بفضل طرازات رائجة مثل مجموعة فورد ترانزيت ورنجر من جهة وفولكس واغن ترانسبورتر وكادي وأماروك من جهة أخرى.</w:t>
      </w:r>
    </w:p>
    <w:p w14:paraId="69ED45D1" w14:textId="7D0F6B9A" w:rsidR="006F16B7" w:rsidRPr="00A4327E" w:rsidRDefault="006F16B7">
      <w:pPr>
        <w:rPr>
          <w:rFonts w:ascii="Arial" w:eastAsia="Arial" w:hAnsi="Arial" w:cs="Simplified Arabic"/>
          <w:sz w:val="28"/>
          <w:szCs w:val="28"/>
        </w:rPr>
      </w:pPr>
    </w:p>
    <w:p w14:paraId="4E9C4F1F" w14:textId="3F24891F" w:rsidR="006F16B7" w:rsidRDefault="008B2A4A">
      <w:pPr>
        <w:bidi/>
        <w:rPr>
          <w:rFonts w:ascii="Arial" w:hAnsi="Arial" w:cs="Simplified Arabic"/>
          <w:sz w:val="28"/>
          <w:szCs w:val="28"/>
          <w:rtl/>
        </w:rPr>
      </w:pPr>
      <w:r w:rsidRPr="00A4327E">
        <w:rPr>
          <w:rFonts w:ascii="Arial" w:hAnsi="Arial" w:cs="Simplified Arabic" w:hint="cs"/>
          <w:sz w:val="28"/>
          <w:szCs w:val="28"/>
          <w:rtl/>
        </w:rPr>
        <w:t xml:space="preserve"> إذ تتوقع الشركتان أن يرتفع الطلب على شاحنات البيك أب المتوسّطة الحجم والفانات التجارية عالمياً في الأعوام الخمسة المقبلة، سيسمح التعاون على هذه الفئات الرئيسية بوصول تكنولوجيا أفضل والمزيد من الابتكار إلى عملاء كلٍّ منهما بسرعة أكبر، ومع استخدام أفضل لسعة المصانع.</w:t>
      </w:r>
    </w:p>
    <w:p w14:paraId="5D585445" w14:textId="77777777" w:rsidR="0067128E" w:rsidRPr="00A4327E" w:rsidRDefault="0067128E" w:rsidP="0067128E">
      <w:pPr>
        <w:bidi/>
        <w:rPr>
          <w:rFonts w:cs="Simplified Arabic"/>
          <w:sz w:val="28"/>
          <w:szCs w:val="28"/>
          <w:rtl/>
        </w:rPr>
      </w:pPr>
    </w:p>
    <w:p w14:paraId="5D943D30" w14:textId="77777777" w:rsidR="006F16B7" w:rsidRPr="00A4327E" w:rsidRDefault="008B2A4A">
      <w:pPr>
        <w:bidi/>
        <w:jc w:val="center"/>
        <w:rPr>
          <w:rFonts w:ascii="Arial" w:eastAsia="Arial" w:hAnsi="Arial" w:cs="Simplified Arabic"/>
          <w:sz w:val="28"/>
          <w:szCs w:val="28"/>
          <w:rtl/>
        </w:rPr>
      </w:pPr>
      <w:r w:rsidRPr="00A4327E">
        <w:rPr>
          <w:rFonts w:ascii="Arial" w:hAnsi="Arial" w:cs="Simplified Arabic" w:hint="cs"/>
          <w:sz w:val="28"/>
          <w:szCs w:val="28"/>
          <w:rtl/>
        </w:rPr>
        <w:t># # #</w:t>
      </w:r>
    </w:p>
    <w:p w14:paraId="1AFC4DFB" w14:textId="77777777" w:rsidR="006F16B7" w:rsidRPr="00A4327E" w:rsidRDefault="006F16B7">
      <w:pPr>
        <w:jc w:val="center"/>
        <w:rPr>
          <w:rFonts w:cs="Simplified Arabic"/>
          <w:sz w:val="28"/>
          <w:szCs w:val="28"/>
        </w:rPr>
      </w:pPr>
    </w:p>
    <w:p w14:paraId="5C484D1B" w14:textId="77777777" w:rsidR="006F16B7" w:rsidRPr="0067128E" w:rsidRDefault="008B2A4A">
      <w:pPr>
        <w:bidi/>
        <w:rPr>
          <w:rFonts w:ascii="Arial" w:eastAsia="Arial" w:hAnsi="Arial" w:cs="Simplified Arabic"/>
          <w:bCs/>
          <w:iCs/>
          <w:rtl/>
        </w:rPr>
      </w:pPr>
      <w:r w:rsidRPr="0067128E">
        <w:rPr>
          <w:rFonts w:ascii="Arial" w:hAnsi="Arial" w:cs="Simplified Arabic" w:hint="cs"/>
          <w:bCs/>
          <w:iCs/>
          <w:rtl/>
        </w:rPr>
        <w:t>نبذة عن مجموعة فولكس واغن</w:t>
      </w:r>
    </w:p>
    <w:p w14:paraId="5CC2E41E" w14:textId="77777777" w:rsidR="006F16B7" w:rsidRPr="00A4327E" w:rsidRDefault="008B2A4A">
      <w:pPr>
        <w:bidi/>
        <w:rPr>
          <w:rFonts w:ascii="Arial" w:eastAsia="Arial" w:hAnsi="Arial" w:cs="Simplified Arabic"/>
          <w:rtl/>
        </w:rPr>
      </w:pPr>
      <w:r w:rsidRPr="0067128E">
        <w:rPr>
          <w:rFonts w:ascii="Arial" w:hAnsi="Arial" w:cs="Simplified Arabic" w:hint="cs"/>
          <w:iCs/>
          <w:rtl/>
        </w:rPr>
        <w:t>يقع مقرّ مجموعة فولكس واغن في وولفسبورغ وهي إحدى شركات تصنيع السيارات الرائدة في العالم وأضخم شركة لتصنيع السيارات في أوروبا. تتألّف المجموعة من 12 علامة من 7 بلدان أوروبية:  سيارات الركّاب فولكس واغن، أودي، سيات، سكودا، بنتلي، بوغاتي، لامبورغيني، بورشه، دوكاتي، مركبات فولكس واغن التجارية، سكانيا، مان. وتتراوح مجموعة سيارات الركّاب بين السيارات الصغيرة والمركبات الفاخرة. وتقدّم علامة دوكاتي الدرّاجات النارية. أما في قطاع المركبات التجارية الخفيفة والثقيلة، فتشمل المنتجات البيك أب والباصات وشاحنات المهام الشاقة. وفي كل يوم عمل، ينتج 664496 موظفاً حول العالم نحو 44567 مركبة ويشاركون في خدمات متعلّقة بالمركبات أو يعملون في مجالات أخرى من الأعمال. وتتولّى مجموعة فولكس واغن بيع مركباتها في 153 بلداً. عام 2018، وفّرت المجموعة 10,8 مليون مركبة عالمياً (2017: 10,7 مليون). وبلغت حصة سيارات الركاب في السوق عالمياً 12,3 في المئة. في أوروبا الغربية، يأتي 22 في المئة من كل سيارات الركّاب الجديدة من مجموعة فولكس واغن. عام 2018، بلغ إجمالي إيرادات مبيعات المجموعة 235,8 مليار يورو (2017: 231 مليار يورو). ووصلت الأرباح بعد اقتطاع الضرائب عام 2018 إلى 17,1 مليار يورو (2017: 11,6 مليار يورو)</w:t>
      </w:r>
      <w:r w:rsidRPr="0067128E">
        <w:rPr>
          <w:rFonts w:ascii="Arial" w:hAnsi="Arial" w:cs="Simplified Arabic" w:hint="cs"/>
          <w:i/>
          <w:rtl/>
        </w:rPr>
        <w:t>.</w:t>
      </w:r>
      <w:hyperlink r:id="rId7">
        <w:r w:rsidRPr="0067128E">
          <w:rPr>
            <w:rFonts w:ascii="Arial" w:hAnsi="Arial" w:cs="Simplified Arabic" w:hint="cs"/>
            <w:i/>
            <w:color w:val="0000FF"/>
            <w:u w:val="single"/>
            <w:rtl/>
          </w:rPr>
          <w:t xml:space="preserve"> </w:t>
        </w:r>
        <w:r w:rsidRPr="0067128E">
          <w:rPr>
            <w:rFonts w:ascii="Arial" w:hAnsi="Arial" w:cs="Simplified Arabic"/>
            <w:i/>
            <w:color w:val="0000FF"/>
            <w:u w:val="single"/>
          </w:rPr>
          <w:t>www.volkswagenag.com</w:t>
        </w:r>
      </w:hyperlink>
      <w:r w:rsidRPr="00A4327E">
        <w:rPr>
          <w:rFonts w:ascii="Arial" w:hAnsi="Arial" w:cs="Simplified Arabic"/>
          <w:i/>
          <w:u w:val="single"/>
        </w:rPr>
        <w:t>.</w:t>
      </w:r>
    </w:p>
    <w:p w14:paraId="3BB62E89" w14:textId="77777777" w:rsidR="006F16B7" w:rsidRPr="00A4327E" w:rsidRDefault="006F16B7">
      <w:pPr>
        <w:rPr>
          <w:rFonts w:ascii="Arial" w:eastAsia="Arial" w:hAnsi="Arial" w:cs="Simplified Arabic"/>
        </w:rPr>
      </w:pPr>
    </w:p>
    <w:p w14:paraId="20A5D2CE" w14:textId="77777777" w:rsidR="0067128E" w:rsidRDefault="0067128E">
      <w:pPr>
        <w:bidi/>
        <w:rPr>
          <w:rFonts w:ascii="Arial" w:hAnsi="Arial" w:cs="Simplified Arabic"/>
          <w:b/>
          <w:i/>
          <w:rtl/>
        </w:rPr>
      </w:pPr>
    </w:p>
    <w:p w14:paraId="57241D3A" w14:textId="77777777" w:rsidR="006F16B7" w:rsidRPr="0067128E" w:rsidRDefault="008B2A4A" w:rsidP="0067128E">
      <w:pPr>
        <w:bidi/>
        <w:rPr>
          <w:rFonts w:ascii="Arial" w:eastAsia="Arial" w:hAnsi="Arial" w:cs="Simplified Arabic"/>
          <w:bCs/>
          <w:iCs/>
          <w:rtl/>
        </w:rPr>
      </w:pPr>
      <w:r w:rsidRPr="0067128E">
        <w:rPr>
          <w:rFonts w:ascii="Arial" w:hAnsi="Arial" w:cs="Simplified Arabic"/>
          <w:bCs/>
          <w:iCs/>
        </w:rPr>
        <w:t xml:space="preserve"> </w:t>
      </w:r>
      <w:r w:rsidRPr="0067128E">
        <w:rPr>
          <w:rFonts w:ascii="Arial" w:hAnsi="Arial" w:cs="Simplified Arabic" w:hint="cs"/>
          <w:bCs/>
          <w:iCs/>
          <w:rtl/>
        </w:rPr>
        <w:t>نبذة عن شركة فورد موتور كومباني</w:t>
      </w:r>
    </w:p>
    <w:p w14:paraId="1F8223A6" w14:textId="77777777" w:rsidR="006F16B7" w:rsidRPr="00A4327E" w:rsidRDefault="008B2A4A">
      <w:pPr>
        <w:bidi/>
        <w:rPr>
          <w:rFonts w:ascii="Arial" w:eastAsia="Arial" w:hAnsi="Arial" w:cs="Simplified Arabic"/>
          <w:i/>
          <w:rtl/>
        </w:rPr>
      </w:pPr>
      <w:r w:rsidRPr="0067128E">
        <w:rPr>
          <w:rFonts w:ascii="Arial" w:hAnsi="Arial" w:cs="Simplified Arabic" w:hint="cs"/>
          <w:iCs/>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196,000 موظف في كافة أرجاء العالم. لمزيد من المعلومات حول فورد ومنتجاتها وشركة فورد موتور كريديت، يرجى زيارة الموقع الإلكتروني</w:t>
      </w:r>
      <w:r w:rsidRPr="00A4327E">
        <w:rPr>
          <w:rFonts w:ascii="Arial" w:hAnsi="Arial" w:cs="Simplified Arabic" w:hint="cs"/>
          <w:i/>
          <w:rtl/>
        </w:rPr>
        <w:t xml:space="preserve"> </w:t>
      </w:r>
      <w:hyperlink r:id="rId8">
        <w:r w:rsidRPr="00A4327E">
          <w:rPr>
            <w:rFonts w:ascii="Arial" w:hAnsi="Arial" w:cs="Simplified Arabic"/>
            <w:i/>
            <w:color w:val="0000FF"/>
            <w:u w:val="single"/>
          </w:rPr>
          <w:t>www.corporate.ford.com</w:t>
        </w:r>
      </w:hyperlink>
      <w:r w:rsidRPr="00A4327E">
        <w:rPr>
          <w:rFonts w:ascii="Arial" w:hAnsi="Arial" w:cs="Simplified Arabic"/>
          <w:i/>
        </w:rPr>
        <w:t>.</w:t>
      </w:r>
    </w:p>
    <w:p w14:paraId="5E9E4828" w14:textId="77777777" w:rsidR="006F16B7" w:rsidRPr="00A4327E" w:rsidRDefault="006F16B7">
      <w:pPr>
        <w:rPr>
          <w:rFonts w:ascii="Arial" w:eastAsia="Arial" w:hAnsi="Arial" w:cs="Simplified Arabic"/>
          <w:i/>
        </w:rPr>
      </w:pPr>
    </w:p>
    <w:p w14:paraId="1494E65B" w14:textId="77777777" w:rsidR="0067128E" w:rsidRDefault="0067128E">
      <w:pPr>
        <w:pStyle w:val="Heading3"/>
        <w:bidi/>
        <w:spacing w:before="0"/>
        <w:rPr>
          <w:rFonts w:ascii="Arial" w:hAnsi="Arial" w:cs="Simplified Arabic"/>
          <w:b/>
          <w:i/>
          <w:color w:val="333333"/>
          <w:sz w:val="20"/>
          <w:szCs w:val="20"/>
          <w:rtl/>
        </w:rPr>
      </w:pPr>
    </w:p>
    <w:p w14:paraId="794310DA" w14:textId="77777777" w:rsidR="006F16B7" w:rsidRPr="00A4327E" w:rsidRDefault="008B2A4A" w:rsidP="0067128E">
      <w:pPr>
        <w:pStyle w:val="Heading3"/>
        <w:bidi/>
        <w:spacing w:before="0"/>
        <w:rPr>
          <w:rFonts w:ascii="Arial" w:eastAsia="Arial" w:hAnsi="Arial" w:cs="Simplified Arabic"/>
          <w:i/>
          <w:color w:val="485052"/>
          <w:sz w:val="20"/>
          <w:szCs w:val="20"/>
          <w:rtl/>
        </w:rPr>
      </w:pPr>
      <w:r w:rsidRPr="0067128E">
        <w:rPr>
          <w:rFonts w:ascii="Arial" w:hAnsi="Arial" w:cs="Simplified Arabic" w:hint="cs"/>
          <w:bCs/>
          <w:i/>
          <w:color w:val="333333"/>
          <w:sz w:val="20"/>
          <w:szCs w:val="20"/>
          <w:rtl/>
        </w:rPr>
        <w:t>حول شركة "آرغو إيه آي"</w:t>
      </w:r>
      <w:r w:rsidRPr="00A4327E">
        <w:rPr>
          <w:rFonts w:ascii="Arial" w:hAnsi="Arial" w:cs="Simplified Arabic" w:hint="cs"/>
          <w:b/>
          <w:i/>
          <w:color w:val="333333"/>
          <w:sz w:val="20"/>
          <w:szCs w:val="20"/>
          <w:rtl/>
        </w:rPr>
        <w:t xml:space="preserve"> </w:t>
      </w:r>
      <w:r w:rsidRPr="00A4327E">
        <w:rPr>
          <w:rFonts w:ascii="Arial" w:hAnsi="Arial" w:cs="Simplified Arabic"/>
          <w:b/>
          <w:i/>
          <w:color w:val="333333"/>
          <w:sz w:val="20"/>
          <w:szCs w:val="20"/>
        </w:rPr>
        <w:t>Argo AI</w:t>
      </w:r>
    </w:p>
    <w:p w14:paraId="6BAAB942" w14:textId="77777777" w:rsidR="00285CD9" w:rsidRPr="00A4327E" w:rsidRDefault="00285CD9" w:rsidP="00285CD9">
      <w:pPr>
        <w:bidi/>
        <w:rPr>
          <w:rFonts w:cs="Simplified Arabic"/>
          <w:rtl/>
        </w:rPr>
      </w:pPr>
      <w:r w:rsidRPr="00A4327E">
        <w:rPr>
          <w:rFonts w:ascii="Arial" w:hAnsi="Arial" w:cs="Simplified Arabic" w:hint="cs"/>
          <w:i/>
          <w:iCs/>
          <w:color w:val="333333"/>
          <w:rtl/>
        </w:rPr>
        <w:t xml:space="preserve">"آرغو إيه آي" </w:t>
      </w:r>
      <w:r w:rsidRPr="00A4327E">
        <w:rPr>
          <w:rFonts w:ascii="Arial" w:hAnsi="Arial" w:cs="Simplified Arabic"/>
          <w:i/>
          <w:iCs/>
          <w:color w:val="333333"/>
        </w:rPr>
        <w:t>Argo AI</w:t>
      </w:r>
      <w:r w:rsidRPr="00A4327E">
        <w:rPr>
          <w:rFonts w:ascii="Arial" w:hAnsi="Arial" w:cs="Simplified Arabic" w:hint="cs"/>
          <w:i/>
          <w:iCs/>
          <w:color w:val="333333"/>
          <w:rtl/>
        </w:rPr>
        <w:t>، هي شركة متخصّصة بتكنولوجيا السيارات الذاتية القيادة ويقع مقرّها في بيتسبورغ، ولاية بنسلفانيا.</w:t>
      </w:r>
    </w:p>
    <w:p w14:paraId="1CEA71BC" w14:textId="5D0708E0" w:rsidR="006F16B7" w:rsidRPr="00A4327E" w:rsidRDefault="00102F38">
      <w:pPr>
        <w:bidi/>
        <w:rPr>
          <w:rFonts w:ascii="Arial" w:eastAsia="Arial" w:hAnsi="Arial" w:cs="Simplified Arabic"/>
          <w:i/>
          <w:color w:val="485052"/>
          <w:rtl/>
        </w:rPr>
      </w:pPr>
      <w:r w:rsidRPr="00A4327E">
        <w:rPr>
          <w:rFonts w:ascii="Arial" w:hAnsi="Arial" w:cs="Simplified Arabic" w:hint="cs"/>
          <w:i/>
          <w:color w:val="333333"/>
          <w:rtl/>
        </w:rPr>
        <w:lastRenderedPageBreak/>
        <w:t xml:space="preserve"> </w:t>
      </w:r>
      <w:r w:rsidRPr="0067128E">
        <w:rPr>
          <w:rFonts w:ascii="Arial" w:hAnsi="Arial" w:cs="Simplified Arabic" w:hint="cs"/>
          <w:iCs/>
          <w:color w:val="333333"/>
          <w:rtl/>
        </w:rPr>
        <w:t>تتولّى الشركة تطوير تكنولوجيا القيادة الذاتية ضمن شراكة مع أبرز شركات تصنيع السيارات لتوفير وسيلة تنقّل أكثر أماناً وملاءمة وتوفّراً بسعر معقول أكثر.</w:t>
      </w:r>
      <w:r w:rsidRPr="0067128E">
        <w:rPr>
          <w:rFonts w:cs="Simplified Arabic" w:hint="cs"/>
          <w:iCs/>
          <w:rtl/>
        </w:rPr>
        <w:t xml:space="preserve"> تستخدم "آرغو إيه آي" </w:t>
      </w:r>
      <w:r w:rsidRPr="0067128E">
        <w:rPr>
          <w:rFonts w:cs="Simplified Arabic"/>
          <w:iCs/>
        </w:rPr>
        <w:t>Argo AI</w:t>
      </w:r>
      <w:r w:rsidRPr="0067128E">
        <w:rPr>
          <w:rFonts w:cs="Simplified Arabic" w:hint="cs"/>
          <w:iCs/>
          <w:rtl/>
        </w:rPr>
        <w:t xml:space="preserve"> نحو 500 شخص ولديها مراكز هندسة في ديربورن في ولاية ميشيغان، وكرانبوري في ولاية نيو جيرسي، وبالو ألتو في ولاية كاليفورنيا. لمزيد من المعلومات حول "آرغو إيه آي" </w:t>
      </w:r>
      <w:r w:rsidRPr="0067128E">
        <w:rPr>
          <w:rFonts w:cs="Simplified Arabic"/>
          <w:iCs/>
        </w:rPr>
        <w:t>Argo AI</w:t>
      </w:r>
      <w:r w:rsidRPr="0067128E">
        <w:rPr>
          <w:rFonts w:cs="Simplified Arabic" w:hint="cs"/>
          <w:iCs/>
          <w:rtl/>
        </w:rPr>
        <w:t>، يرجى زيارة الموقع</w:t>
      </w:r>
      <w:r w:rsidRPr="00A4327E">
        <w:rPr>
          <w:rFonts w:cs="Simplified Arabic" w:hint="cs"/>
          <w:rtl/>
        </w:rPr>
        <w:t xml:space="preserve"> </w:t>
      </w:r>
      <w:hyperlink r:id="rId9">
        <w:r w:rsidRPr="00A4327E">
          <w:rPr>
            <w:rFonts w:ascii="Arial" w:hAnsi="Arial" w:cs="Simplified Arabic"/>
            <w:i/>
            <w:color w:val="0000FF"/>
            <w:u w:val="single"/>
          </w:rPr>
          <w:t>www.argo.ai</w:t>
        </w:r>
      </w:hyperlink>
    </w:p>
    <w:p w14:paraId="6919FA8F" w14:textId="77777777" w:rsidR="006F16B7" w:rsidRPr="00A4327E" w:rsidRDefault="006F16B7">
      <w:pPr>
        <w:rPr>
          <w:rFonts w:ascii="Arial" w:eastAsia="Arial" w:hAnsi="Arial" w:cs="Simplified Arabic"/>
          <w:i/>
        </w:rPr>
      </w:pPr>
    </w:p>
    <w:p w14:paraId="24AE21CF" w14:textId="77777777" w:rsidR="006F16B7" w:rsidRPr="0067128E" w:rsidRDefault="008B2A4A">
      <w:pPr>
        <w:bidi/>
        <w:rPr>
          <w:rFonts w:ascii="Arial" w:eastAsia="Arial" w:hAnsi="Arial" w:cs="Simplified Arabic"/>
          <w:bCs/>
          <w:iCs/>
          <w:rtl/>
        </w:rPr>
      </w:pPr>
      <w:r w:rsidRPr="0067128E">
        <w:rPr>
          <w:rFonts w:ascii="Arial" w:hAnsi="Arial" w:cs="Simplified Arabic"/>
          <w:bCs/>
          <w:iCs/>
        </w:rPr>
        <w:t xml:space="preserve"> </w:t>
      </w:r>
      <w:r w:rsidRPr="0067128E">
        <w:rPr>
          <w:rFonts w:ascii="Arial" w:hAnsi="Arial" w:cs="Simplified Arabic" w:hint="cs"/>
          <w:bCs/>
          <w:iCs/>
          <w:rtl/>
        </w:rPr>
        <w:t>بيانات تطلّعية</w:t>
      </w:r>
    </w:p>
    <w:p w14:paraId="4753BE37" w14:textId="41003C3A" w:rsidR="006F16B7" w:rsidRDefault="008B2A4A">
      <w:pPr>
        <w:bidi/>
        <w:rPr>
          <w:rFonts w:ascii="Arial" w:hAnsi="Arial" w:cs="Simplified Arabic"/>
          <w:iCs/>
        </w:rPr>
      </w:pPr>
      <w:r w:rsidRPr="0067128E">
        <w:rPr>
          <w:rFonts w:ascii="Arial" w:hAnsi="Arial" w:cs="Simplified Arabic" w:hint="cs"/>
          <w:iCs/>
          <w:rtl/>
        </w:rPr>
        <w:t xml:space="preserve"> قد تشكّل البيانات الواردة في هذا النص "بيانات تطلّعية" ضمن المعنى المنصوص عليه في مرسوم الإصلاح المتعلق بالدعاوى الخاصة الناشئة عن التعامل بالأوراق المالية الصادر عام 1995. ترتكز البيانات التطلّعية على توقعات حالية بشأن أحداث مستقبلية. قد تختلف النتائج الفعلية كثيراً عن النتائج التي تم التصريح عنها جرّاء المخاطر والاحتمالات المجهولة وعوامل أخرى، بما فيها تلك المتعلّقة بتقبّل السوق للمنتجات وخدمات النقل الجديدة والموجودة؛ عيوب تؤدّي إلى تأخير إطلاق الطرازات الجديدة، أو حملات سحب المركبات من السوق، أو ارتفاع تكاليف الكفالة؛ تعديلات على خطط المنتج لمراعاة القوانين الخاصة بالسلامة أو الانبعاثات أو التوفير في استهلاك الوقود أو غيرها من التنظيمات؛ بالإضافة إلى المخاطر المتعلّقة بأمن الكمبيوترات. لا تغطّي البيانات التطلّعية الماضي بل يبدأ مفعولها بدءاً من تاريخ صدورها. للمزيد من النقاشات حول الموضوع، يرجى مراجعة البند </w:t>
      </w:r>
      <w:r w:rsidRPr="0067128E">
        <w:rPr>
          <w:rFonts w:ascii="Arial" w:hAnsi="Arial" w:cs="Simplified Arabic"/>
          <w:iCs/>
        </w:rPr>
        <w:t>1A</w:t>
      </w:r>
      <w:r w:rsidRPr="0067128E">
        <w:rPr>
          <w:rFonts w:ascii="Arial" w:hAnsi="Arial" w:cs="Simplified Arabic" w:hint="cs"/>
          <w:iCs/>
          <w:rtl/>
        </w:rPr>
        <w:t xml:space="preserve"> في تقرير فورد على الاستمارة 10-</w:t>
      </w:r>
      <w:r w:rsidRPr="0067128E">
        <w:rPr>
          <w:rFonts w:ascii="Arial" w:hAnsi="Arial" w:cs="Simplified Arabic"/>
          <w:iCs/>
        </w:rPr>
        <w:t>K</w:t>
      </w:r>
      <w:r w:rsidRPr="0067128E">
        <w:rPr>
          <w:rFonts w:ascii="Arial" w:hAnsi="Arial" w:cs="Simplified Arabic" w:hint="cs"/>
          <w:iCs/>
          <w:rtl/>
        </w:rPr>
        <w:t xml:space="preserve"> للعام 2018.</w:t>
      </w:r>
    </w:p>
    <w:p w14:paraId="41135F4D" w14:textId="77777777" w:rsidR="004E2756" w:rsidRDefault="004E2756" w:rsidP="004E2756">
      <w:pPr>
        <w:bidi/>
        <w:rPr>
          <w:rFonts w:ascii="Arial" w:hAnsi="Arial" w:cs="Simplified Arabic"/>
          <w:iCs/>
          <w:rtl/>
        </w:rPr>
      </w:pPr>
    </w:p>
    <w:p w14:paraId="0071E75F" w14:textId="2169D7C0" w:rsidR="006F16B7" w:rsidRDefault="006F16B7">
      <w:pPr>
        <w:rPr>
          <w:rFonts w:ascii="Arial" w:eastAsia="Arial" w:hAnsi="Arial" w:cs="Simplified Arabic"/>
          <w:b/>
          <w:i/>
          <w:sz w:val="22"/>
          <w:szCs w:val="22"/>
        </w:rPr>
      </w:pPr>
    </w:p>
    <w:tbl>
      <w:tblPr>
        <w:bidiVisual/>
        <w:tblW w:w="8606" w:type="dxa"/>
        <w:tblInd w:w="-5" w:type="dxa"/>
        <w:tblLayout w:type="fixed"/>
        <w:tblLook w:val="04A0" w:firstRow="1" w:lastRow="0" w:firstColumn="1" w:lastColumn="0" w:noHBand="0" w:noVBand="1"/>
      </w:tblPr>
      <w:tblGrid>
        <w:gridCol w:w="1530"/>
        <w:gridCol w:w="3402"/>
        <w:gridCol w:w="3674"/>
      </w:tblGrid>
      <w:tr w:rsidR="004E2756" w14:paraId="4DCB78B9" w14:textId="77777777" w:rsidTr="004E2756">
        <w:trPr>
          <w:trHeight w:val="448"/>
        </w:trPr>
        <w:tc>
          <w:tcPr>
            <w:tcW w:w="1530" w:type="dxa"/>
            <w:hideMark/>
          </w:tcPr>
          <w:p w14:paraId="2206710A" w14:textId="77777777" w:rsidR="004E2756" w:rsidRDefault="004E2756" w:rsidP="00967003">
            <w:pPr>
              <w:bidi/>
              <w:spacing w:line="254" w:lineRule="auto"/>
              <w:rPr>
                <w:rFonts w:ascii="Simplified Arabic" w:hAnsi="Simplified Arabic" w:cs="Simplified Arabic"/>
              </w:rPr>
            </w:pPr>
            <w:r>
              <w:rPr>
                <w:rFonts w:ascii="Simplified Arabic" w:hAnsi="Simplified Arabic" w:cs="Simplified Arabic" w:hint="cs"/>
                <w:b/>
                <w:bCs/>
                <w:iCs/>
                <w:rtl/>
              </w:rPr>
              <w:t>جهات الاتصال:</w:t>
            </w:r>
          </w:p>
        </w:tc>
        <w:tc>
          <w:tcPr>
            <w:tcW w:w="3402" w:type="dxa"/>
            <w:hideMark/>
          </w:tcPr>
          <w:p w14:paraId="6C2B51CA" w14:textId="77777777" w:rsidR="004E2756" w:rsidRDefault="004E2756" w:rsidP="00967003">
            <w:pPr>
              <w:bidi/>
              <w:spacing w:line="254" w:lineRule="auto"/>
              <w:rPr>
                <w:rFonts w:ascii="Simplified Arabic" w:hAnsi="Simplified Arabic" w:cs="Simplified Arabic"/>
              </w:rPr>
            </w:pPr>
            <w:r>
              <w:rPr>
                <w:rFonts w:ascii="Simplified Arabic" w:hAnsi="Simplified Arabic" w:cs="Simplified Arabic" w:hint="cs"/>
                <w:rtl/>
              </w:rPr>
              <w:t>سوسن نيغوصيان</w:t>
            </w:r>
          </w:p>
          <w:p w14:paraId="54EDA552" w14:textId="77777777" w:rsidR="004E2756" w:rsidRDefault="004E2756" w:rsidP="00967003">
            <w:pPr>
              <w:bidi/>
              <w:spacing w:line="254" w:lineRule="auto"/>
              <w:rPr>
                <w:rFonts w:ascii="Simplified Arabic" w:hAnsi="Simplified Arabic" w:cs="Simplified Arabic"/>
                <w:rtl/>
              </w:rPr>
            </w:pPr>
            <w:r>
              <w:rPr>
                <w:rFonts w:ascii="Simplified Arabic" w:hAnsi="Simplified Arabic" w:cs="Simplified Arabic" w:hint="cs"/>
                <w:rtl/>
              </w:rPr>
              <w:t>الشؤون الإعلامية في الشرق الأوسط وشمال أفريقيا</w:t>
            </w:r>
          </w:p>
          <w:p w14:paraId="3BEC2D35" w14:textId="77777777" w:rsidR="004E2756" w:rsidRDefault="004E2756" w:rsidP="00967003">
            <w:pPr>
              <w:bidi/>
              <w:spacing w:line="254" w:lineRule="auto"/>
              <w:rPr>
                <w:rFonts w:ascii="Simplified Arabic" w:hAnsi="Simplified Arabic" w:cs="Simplified Arabic"/>
                <w:rtl/>
              </w:rPr>
            </w:pPr>
            <w:r>
              <w:rPr>
                <w:rFonts w:ascii="Simplified Arabic" w:hAnsi="Simplified Arabic" w:cs="Simplified Arabic" w:hint="cs"/>
                <w:rtl/>
              </w:rPr>
              <w:t>فورد الشرق الأوسط وأفريقيا</w:t>
            </w:r>
          </w:p>
        </w:tc>
        <w:tc>
          <w:tcPr>
            <w:tcW w:w="3674" w:type="dxa"/>
            <w:hideMark/>
          </w:tcPr>
          <w:p w14:paraId="00C2486D" w14:textId="77777777" w:rsidR="004E2756" w:rsidRDefault="004E2756" w:rsidP="00967003">
            <w:pPr>
              <w:bidi/>
              <w:spacing w:line="254" w:lineRule="auto"/>
              <w:rPr>
                <w:rFonts w:ascii="Simplified Arabic" w:hAnsi="Simplified Arabic" w:cs="Simplified Arabic"/>
                <w:rtl/>
              </w:rPr>
            </w:pPr>
            <w:r>
              <w:rPr>
                <w:rFonts w:ascii="Simplified Arabic" w:hAnsi="Simplified Arabic" w:cs="Simplified Arabic" w:hint="cs"/>
                <w:rtl/>
              </w:rPr>
              <w:t>رشا غانم</w:t>
            </w:r>
          </w:p>
          <w:p w14:paraId="38612D54" w14:textId="77777777" w:rsidR="004E2756" w:rsidRDefault="004E2756" w:rsidP="00967003">
            <w:pPr>
              <w:bidi/>
              <w:spacing w:line="254" w:lineRule="auto"/>
              <w:rPr>
                <w:rFonts w:ascii="Simplified Arabic" w:hAnsi="Simplified Arabic" w:cs="Simplified Arabic"/>
              </w:rPr>
            </w:pPr>
            <w:r>
              <w:rPr>
                <w:rFonts w:ascii="Simplified Arabic" w:hAnsi="Simplified Arabic" w:cs="Simplified Arabic" w:hint="cs"/>
                <w:rtl/>
              </w:rPr>
              <w:t xml:space="preserve">أصداء بي سي دبليو </w:t>
            </w:r>
          </w:p>
          <w:p w14:paraId="0314BE0C" w14:textId="77777777" w:rsidR="004E2756" w:rsidRDefault="004E2756" w:rsidP="00967003">
            <w:pPr>
              <w:bidi/>
              <w:spacing w:line="254" w:lineRule="auto"/>
              <w:rPr>
                <w:rFonts w:ascii="Simplified Arabic" w:hAnsi="Simplified Arabic" w:cs="Simplified Arabic"/>
                <w:rtl/>
              </w:rPr>
            </w:pPr>
            <w:r>
              <w:rPr>
                <w:rFonts w:ascii="Simplified Arabic" w:hAnsi="Simplified Arabic" w:cs="Simplified Arabic" w:hint="cs"/>
                <w:rtl/>
              </w:rPr>
              <w:t>دبي، الإمارات العربية المتحدة</w:t>
            </w:r>
          </w:p>
        </w:tc>
      </w:tr>
      <w:tr w:rsidR="004E2756" w14:paraId="1D2075D2" w14:textId="77777777" w:rsidTr="004E2756">
        <w:trPr>
          <w:trHeight w:val="315"/>
        </w:trPr>
        <w:tc>
          <w:tcPr>
            <w:tcW w:w="1530" w:type="dxa"/>
          </w:tcPr>
          <w:p w14:paraId="11E32B0D" w14:textId="77777777" w:rsidR="004E2756" w:rsidRDefault="004E2756" w:rsidP="00967003">
            <w:pPr>
              <w:bidi/>
              <w:spacing w:line="254" w:lineRule="auto"/>
              <w:rPr>
                <w:rFonts w:ascii="Simplified Arabic" w:hAnsi="Simplified Arabic" w:cs="Simplified Arabic"/>
                <w:color w:val="000000"/>
                <w:rtl/>
              </w:rPr>
            </w:pPr>
          </w:p>
        </w:tc>
        <w:tc>
          <w:tcPr>
            <w:tcW w:w="3402" w:type="dxa"/>
            <w:hideMark/>
          </w:tcPr>
          <w:p w14:paraId="52F75409" w14:textId="77777777" w:rsidR="004E2756" w:rsidRDefault="004E2756" w:rsidP="00967003">
            <w:pPr>
              <w:bidi/>
              <w:spacing w:line="254" w:lineRule="auto"/>
              <w:rPr>
                <w:rFonts w:ascii="Simplified Arabic" w:hAnsi="Simplified Arabic" w:cs="Simplified Arabic"/>
                <w:color w:val="000000"/>
                <w:rtl/>
              </w:rPr>
            </w:pPr>
            <w:r>
              <w:rPr>
                <w:rFonts w:ascii="Simplified Arabic" w:hAnsi="Simplified Arabic" w:cs="Simplified Arabic" w:hint="cs"/>
                <w:color w:val="000000"/>
                <w:cs/>
              </w:rPr>
              <w:t>‎</w:t>
            </w:r>
            <w:r>
              <w:rPr>
                <w:rFonts w:ascii="Simplified Arabic" w:hAnsi="Simplified Arabic" w:cs="Simplified Arabic" w:hint="cs"/>
                <w:color w:val="000000"/>
                <w:rtl/>
              </w:rPr>
              <w:t>971-4-356-6368</w:t>
            </w:r>
          </w:p>
        </w:tc>
        <w:tc>
          <w:tcPr>
            <w:tcW w:w="3674" w:type="dxa"/>
            <w:hideMark/>
          </w:tcPr>
          <w:p w14:paraId="72936F44" w14:textId="77777777" w:rsidR="004E2756" w:rsidRDefault="004E2756" w:rsidP="00967003">
            <w:pPr>
              <w:bidi/>
              <w:spacing w:line="254" w:lineRule="auto"/>
              <w:rPr>
                <w:rFonts w:ascii="Simplified Arabic" w:hAnsi="Simplified Arabic" w:cs="Simplified Arabic"/>
                <w:color w:val="000000"/>
                <w:rtl/>
              </w:rPr>
            </w:pPr>
            <w:r>
              <w:rPr>
                <w:rFonts w:ascii="Simplified Arabic" w:hAnsi="Simplified Arabic" w:cs="Simplified Arabic" w:hint="cs"/>
                <w:cs/>
              </w:rPr>
              <w:t>‎</w:t>
            </w:r>
            <w:r>
              <w:rPr>
                <w:rFonts w:ascii="Simplified Arabic" w:hAnsi="Simplified Arabic" w:cs="Simplified Arabic" w:hint="cs"/>
                <w:rtl/>
              </w:rPr>
              <w:t>971-4-4507600</w:t>
            </w:r>
          </w:p>
        </w:tc>
      </w:tr>
      <w:tr w:rsidR="004E2756" w14:paraId="5B149E0D" w14:textId="77777777" w:rsidTr="004E2756">
        <w:trPr>
          <w:trHeight w:val="631"/>
        </w:trPr>
        <w:tc>
          <w:tcPr>
            <w:tcW w:w="1530" w:type="dxa"/>
          </w:tcPr>
          <w:p w14:paraId="0154C558" w14:textId="77777777" w:rsidR="004E2756" w:rsidRDefault="004E2756" w:rsidP="00967003">
            <w:pPr>
              <w:bidi/>
              <w:spacing w:line="254" w:lineRule="auto"/>
              <w:rPr>
                <w:rFonts w:ascii="Simplified Arabic" w:hAnsi="Simplified Arabic" w:cs="Simplified Arabic"/>
                <w:color w:val="000000"/>
                <w:rtl/>
              </w:rPr>
            </w:pPr>
          </w:p>
        </w:tc>
        <w:tc>
          <w:tcPr>
            <w:tcW w:w="3402" w:type="dxa"/>
            <w:hideMark/>
          </w:tcPr>
          <w:p w14:paraId="2C238275" w14:textId="77777777" w:rsidR="004E2756" w:rsidRDefault="00B476C8" w:rsidP="00967003">
            <w:pPr>
              <w:bidi/>
              <w:spacing w:line="254" w:lineRule="auto"/>
              <w:rPr>
                <w:rFonts w:ascii="Simplified Arabic" w:hAnsi="Simplified Arabic" w:cs="Simplified Arabic"/>
                <w:color w:val="000000"/>
                <w:rtl/>
              </w:rPr>
            </w:pPr>
            <w:hyperlink r:id="rId10" w:history="1">
              <w:r w:rsidR="004E2756">
                <w:rPr>
                  <w:rStyle w:val="Hyperlink"/>
                  <w:rFonts w:ascii="Simplified Arabic" w:hAnsi="Simplified Arabic" w:cs="Simplified Arabic" w:hint="cs"/>
                </w:rPr>
                <w:t>snigogho@ford.com</w:t>
              </w:r>
            </w:hyperlink>
          </w:p>
        </w:tc>
        <w:tc>
          <w:tcPr>
            <w:tcW w:w="3674" w:type="dxa"/>
          </w:tcPr>
          <w:p w14:paraId="53208970" w14:textId="77777777" w:rsidR="004E2756" w:rsidRDefault="00B476C8" w:rsidP="00967003">
            <w:pPr>
              <w:bidi/>
              <w:spacing w:line="254" w:lineRule="auto"/>
              <w:rPr>
                <w:rFonts w:ascii="Simplified Arabic" w:hAnsi="Simplified Arabic" w:cs="Simplified Arabic"/>
                <w:color w:val="0000FF"/>
                <w:u w:val="single"/>
                <w:rtl/>
              </w:rPr>
            </w:pPr>
            <w:hyperlink r:id="rId11" w:history="1">
              <w:r w:rsidR="004E2756">
                <w:rPr>
                  <w:rStyle w:val="Hyperlink"/>
                  <w:rFonts w:ascii="Simplified Arabic" w:hAnsi="Simplified Arabic" w:cs="Simplified Arabic" w:hint="cs"/>
                </w:rPr>
                <w:t xml:space="preserve"> rasha.ghanem@bcw-global.com</w:t>
              </w:r>
            </w:hyperlink>
          </w:p>
          <w:p w14:paraId="224563DB" w14:textId="77777777" w:rsidR="004E2756" w:rsidRDefault="004E2756" w:rsidP="00967003">
            <w:pPr>
              <w:bidi/>
              <w:spacing w:line="254" w:lineRule="auto"/>
              <w:rPr>
                <w:rFonts w:ascii="Simplified Arabic" w:hAnsi="Simplified Arabic" w:cs="Simplified Arabic"/>
                <w:color w:val="000000"/>
              </w:rPr>
            </w:pPr>
          </w:p>
        </w:tc>
      </w:tr>
    </w:tbl>
    <w:p w14:paraId="7486A994" w14:textId="77777777" w:rsidR="004E2756" w:rsidRPr="00A4327E" w:rsidRDefault="004E2756">
      <w:pPr>
        <w:rPr>
          <w:rFonts w:ascii="Arial" w:eastAsia="Arial" w:hAnsi="Arial" w:cs="Simplified Arabic"/>
          <w:b/>
        </w:rPr>
      </w:pPr>
    </w:p>
    <w:p w14:paraId="25776C96" w14:textId="77777777" w:rsidR="006F16B7" w:rsidRPr="00A4327E" w:rsidRDefault="006F16B7">
      <w:pPr>
        <w:rPr>
          <w:rFonts w:cs="Simplified Arabic"/>
          <w:b/>
        </w:rPr>
      </w:pPr>
    </w:p>
    <w:p w14:paraId="718D8C6F" w14:textId="77777777" w:rsidR="006F16B7" w:rsidRPr="00A4327E" w:rsidRDefault="006F16B7">
      <w:pPr>
        <w:pBdr>
          <w:top w:val="nil"/>
          <w:left w:val="nil"/>
          <w:bottom w:val="nil"/>
          <w:right w:val="nil"/>
          <w:between w:val="nil"/>
        </w:pBdr>
        <w:rPr>
          <w:rFonts w:ascii="Arial" w:eastAsia="Arial" w:hAnsi="Arial" w:cs="Simplified Arabic"/>
          <w:color w:val="000000"/>
          <w:sz w:val="22"/>
          <w:szCs w:val="22"/>
        </w:rPr>
      </w:pPr>
    </w:p>
    <w:sectPr w:rsidR="006F16B7" w:rsidRPr="00A4327E">
      <w:footerReference w:type="even" r:id="rId12"/>
      <w:footerReference w:type="default" r:id="rId13"/>
      <w:headerReference w:type="first" r:id="rId14"/>
      <w:footerReference w:type="first" r:id="rId15"/>
      <w:pgSz w:w="12240" w:h="15840"/>
      <w:pgMar w:top="1440" w:right="1440" w:bottom="864" w:left="144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B920B" w14:textId="77777777" w:rsidR="000C0960" w:rsidRDefault="000C0960">
      <w:r>
        <w:separator/>
      </w:r>
    </w:p>
  </w:endnote>
  <w:endnote w:type="continuationSeparator" w:id="0">
    <w:p w14:paraId="48A4B2C3" w14:textId="77777777" w:rsidR="000C0960" w:rsidRDefault="000C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panose1 w:val="02020603050405020304"/>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DA3B" w14:textId="77777777" w:rsidR="006F16B7" w:rsidRDefault="008B2A4A">
    <w:pPr>
      <w:pBdr>
        <w:top w:val="nil"/>
        <w:left w:val="nil"/>
        <w:bottom w:val="nil"/>
        <w:right w:val="nil"/>
        <w:between w:val="nil"/>
      </w:pBdr>
      <w:tabs>
        <w:tab w:val="center" w:pos="4320"/>
        <w:tab w:val="right" w:pos="8640"/>
      </w:tabs>
      <w:bidi/>
      <w:jc w:val="center"/>
      <w:rPr>
        <w:color w:val="000000"/>
        <w:rtl/>
      </w:rPr>
    </w:pPr>
    <w:r>
      <w:rPr>
        <w:rFonts w:hint="cs"/>
        <w:color w:val="000000"/>
        <w:rtl/>
      </w:rPr>
      <w:fldChar w:fldCharType="begin"/>
    </w:r>
    <w:r>
      <w:rPr>
        <w:rtl/>
      </w:rPr>
      <w:instrText xml:space="preserve"> </w:instrText>
    </w:r>
    <w:r>
      <w:rPr>
        <w:rFonts w:hint="cs"/>
        <w:color w:val="000000"/>
      </w:rPr>
      <w:instrText>PAGE</w:instrText>
    </w:r>
    <w:r>
      <w:rPr>
        <w:rFonts w:hint="cs"/>
        <w:color w:val="000000"/>
        <w:rtl/>
      </w:rPr>
      <w:fldChar w:fldCharType="end"/>
    </w:r>
  </w:p>
  <w:p w14:paraId="21F5CED2" w14:textId="77777777" w:rsidR="006F16B7" w:rsidRDefault="006F16B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81ED" w14:textId="77777777" w:rsidR="004E2756" w:rsidRDefault="004E2756" w:rsidP="004E2756"/>
  <w:p w14:paraId="51870424" w14:textId="092E8D28" w:rsidR="006F16B7" w:rsidRPr="004E2756" w:rsidRDefault="004E2756" w:rsidP="004E2756">
    <w:pPr>
      <w:pStyle w:val="Footer"/>
      <w:bidi/>
      <w:jc w:val="center"/>
      <w:rPr>
        <w:iCs/>
        <w:sz w:val="18"/>
        <w:szCs w:val="18"/>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FFC65" w14:textId="77777777" w:rsidR="004E2756" w:rsidRDefault="004E2756" w:rsidP="004E2756"/>
  <w:p w14:paraId="200BE8EB" w14:textId="1A9930F8" w:rsidR="006F16B7" w:rsidRPr="004E2756" w:rsidRDefault="004E2756" w:rsidP="004E2756">
    <w:pPr>
      <w:pStyle w:val="Footer"/>
      <w:bidi/>
      <w:jc w:val="center"/>
      <w:rPr>
        <w:iCs/>
        <w:sz w:val="18"/>
        <w:szCs w:val="18"/>
        <w:rtl/>
      </w:rPr>
    </w:pPr>
    <w:r w:rsidRPr="00892064">
      <w:rPr>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892064">
        <w:rPr>
          <w:rStyle w:val="Hyperlink"/>
          <w:sz w:val="18"/>
          <w:szCs w:val="18"/>
          <w:rtl/>
        </w:rPr>
        <w:t xml:space="preserve"> </w:t>
      </w:r>
      <w:r w:rsidRPr="00892064">
        <w:rPr>
          <w:rStyle w:val="Hyperlink"/>
          <w:sz w:val="18"/>
          <w:szCs w:val="18"/>
        </w:rPr>
        <w:t>www.media.ford.com</w:t>
      </w:r>
    </w:hyperlink>
    <w:r w:rsidRPr="00892064">
      <w:rPr>
        <w:sz w:val="18"/>
        <w:szCs w:val="18"/>
      </w:rPr>
      <w:t>.</w:t>
    </w:r>
    <w:r w:rsidRPr="00892064">
      <w:rPr>
        <w:sz w:val="18"/>
        <w:szCs w:val="18"/>
        <w:rtl/>
      </w:rPr>
      <w:t xml:space="preserve">  </w:t>
    </w:r>
    <w:r w:rsidRPr="00892064">
      <w:rPr>
        <w:sz w:val="18"/>
        <w:szCs w:val="18"/>
        <w:rtl/>
      </w:rPr>
      <w:br/>
      <w:t>وندعوكم لمتابعتنا عبر موقع</w:t>
    </w:r>
    <w:hyperlink r:id="rId2" w:history="1">
      <w:r w:rsidRPr="00892064">
        <w:rPr>
          <w:rStyle w:val="Hyperlink"/>
          <w:iCs/>
          <w:sz w:val="18"/>
          <w:szCs w:val="18"/>
          <w:rtl/>
        </w:rPr>
        <w:t xml:space="preserve"> </w:t>
      </w:r>
      <w:r w:rsidRPr="00892064">
        <w:rPr>
          <w:rStyle w:val="Hyperlink"/>
          <w:iCs/>
          <w:sz w:val="18"/>
          <w:szCs w:val="18"/>
        </w:rPr>
        <w:t>www.facebook.com/fordmiddleeast</w:t>
      </w:r>
    </w:hyperlink>
    <w:r w:rsidRPr="00892064">
      <w:rPr>
        <w:sz w:val="18"/>
        <w:szCs w:val="18"/>
        <w:rtl/>
      </w:rPr>
      <w:t xml:space="preserve">، </w:t>
    </w:r>
    <w:hyperlink r:id="rId3" w:history="1">
      <w:r w:rsidRPr="00892064">
        <w:rPr>
          <w:rStyle w:val="Hyperlink"/>
          <w:iCs/>
          <w:sz w:val="18"/>
          <w:szCs w:val="18"/>
        </w:rPr>
        <w:t>www.twitter.com/fordmiddleeast</w:t>
      </w:r>
    </w:hyperlink>
    <w:r w:rsidRPr="00892064">
      <w:rPr>
        <w:iCs/>
        <w:sz w:val="18"/>
        <w:szCs w:val="18"/>
        <w:rtl/>
      </w:rPr>
      <w:t xml:space="preserve"> أو </w:t>
    </w:r>
    <w:hyperlink r:id="rId4" w:history="1">
      <w:r w:rsidRPr="00892064">
        <w:rPr>
          <w:rStyle w:val="Hyperlink"/>
          <w:iCs/>
          <w:sz w:val="18"/>
          <w:szCs w:val="18"/>
        </w:rPr>
        <w:t>www.instagram.com/fordmiddleeast</w:t>
      </w:r>
    </w:hyperlink>
    <w:r w:rsidRPr="00892064">
      <w:rPr>
        <w:iCs/>
        <w:sz w:val="18"/>
        <w:szCs w:val="18"/>
        <w:rtl/>
      </w:rPr>
      <w:t xml:space="preserve"> أو </w:t>
    </w:r>
    <w:hyperlink r:id="rId5" w:history="1">
      <w:r w:rsidRPr="00892064">
        <w:rPr>
          <w:rStyle w:val="Hyperlink"/>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FE9FE" w14:textId="77777777" w:rsidR="000C0960" w:rsidRDefault="000C0960">
      <w:r>
        <w:separator/>
      </w:r>
    </w:p>
  </w:footnote>
  <w:footnote w:type="continuationSeparator" w:id="0">
    <w:p w14:paraId="18AD86F7" w14:textId="77777777" w:rsidR="000C0960" w:rsidRDefault="000C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D011" w14:textId="23B846E2" w:rsidR="006F16B7" w:rsidRPr="004E2756" w:rsidRDefault="004E2756" w:rsidP="004E2756">
    <w:pPr>
      <w:tabs>
        <w:tab w:val="left" w:pos="1483"/>
        <w:tab w:val="center" w:pos="4513"/>
        <w:tab w:val="right" w:pos="9026"/>
      </w:tabs>
      <w:ind w:left="4513" w:firstLine="583"/>
      <w:jc w:val="right"/>
      <w:rPr>
        <w:rtl/>
      </w:rPr>
    </w:pPr>
    <w:r w:rsidRPr="00CC15D6">
      <w:rPr>
        <w:noProof/>
      </w:rPr>
      <mc:AlternateContent>
        <mc:Choice Requires="wps">
          <w:drawing>
            <wp:anchor distT="0" distB="0" distL="114300" distR="114300" simplePos="0" relativeHeight="251659264" behindDoc="0" locked="0" layoutInCell="1" allowOverlap="1" wp14:anchorId="129F4B3B" wp14:editId="6CAE071B">
              <wp:simplePos x="0" y="0"/>
              <wp:positionH relativeFrom="column">
                <wp:posOffset>4631055</wp:posOffset>
              </wp:positionH>
              <wp:positionV relativeFrom="paragraph">
                <wp:posOffset>57785</wp:posOffset>
              </wp:positionV>
              <wp:extent cx="0" cy="228600"/>
              <wp:effectExtent l="0" t="0" r="381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271E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65pt,4.55pt" to="364.6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k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bjASJEB&#10;WrTzloiu96jWSoGA2qIi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" strokeweight="1pt"/>
          </w:pict>
        </mc:Fallback>
      </mc:AlternateContent>
    </w:r>
    <w:r w:rsidRPr="00CC15D6">
      <w:rPr>
        <w:noProof/>
      </w:rPr>
      <w:drawing>
        <wp:anchor distT="0" distB="0" distL="114300" distR="114300" simplePos="0" relativeHeight="251660288" behindDoc="0" locked="0" layoutInCell="1" allowOverlap="1" wp14:anchorId="542ED2F6" wp14:editId="236003AE">
          <wp:simplePos x="0" y="0"/>
          <wp:positionH relativeFrom="column">
            <wp:posOffset>4672330</wp:posOffset>
          </wp:positionH>
          <wp:positionV relativeFrom="paragraph">
            <wp:posOffset>11430</wp:posOffset>
          </wp:positionV>
          <wp:extent cx="800100" cy="314325"/>
          <wp:effectExtent l="0" t="0" r="0" b="9525"/>
          <wp:wrapNone/>
          <wp:docPr id="8" name="Picture 8"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15D6">
      <w:rPr>
        <w:rFonts w:ascii="Book Antiqua" w:hAnsi="Book Antiqua" w:hint="cs"/>
        <w:smallCaps/>
        <w:position w:val="132"/>
        <w:sz w:val="48"/>
        <w:szCs w:val="48"/>
        <w:rtl/>
      </w:rPr>
      <w:t xml:space="preserve">                    </w:t>
    </w:r>
    <w:r w:rsidRPr="00CC15D6">
      <w:rPr>
        <w:rFonts w:ascii="Book Antiqua" w:hAnsi="Book Antiqua" w:hint="cs"/>
        <w:smallCaps/>
        <w:position w:val="132"/>
        <w:sz w:val="44"/>
        <w:szCs w:val="44"/>
        <w:rtl/>
      </w:rPr>
      <w:t>خبر صحفي</w:t>
    </w:r>
    <w:r w:rsidRPr="00CC15D6">
      <w:rPr>
        <w:rFonts w:ascii="Book Antiqua" w:hAnsi="Book Antiqua"/>
        <w:smallCaps/>
        <w:position w:val="132"/>
        <w:sz w:val="44"/>
        <w:szCs w:val="44"/>
      </w:rPr>
      <w:t xml:space="preserve">        </w:t>
    </w:r>
    <w:r>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0226"/>
    <w:multiLevelType w:val="hybridMultilevel"/>
    <w:tmpl w:val="51940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E77466B"/>
    <w:multiLevelType w:val="multilevel"/>
    <w:tmpl w:val="58A06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6F16B7"/>
    <w:rsid w:val="00021791"/>
    <w:rsid w:val="00054086"/>
    <w:rsid w:val="000575BE"/>
    <w:rsid w:val="00062C9E"/>
    <w:rsid w:val="000766A9"/>
    <w:rsid w:val="000812A3"/>
    <w:rsid w:val="000C0960"/>
    <w:rsid w:val="000E3E32"/>
    <w:rsid w:val="000F1AE4"/>
    <w:rsid w:val="000F2145"/>
    <w:rsid w:val="000F4308"/>
    <w:rsid w:val="00102F38"/>
    <w:rsid w:val="00110B94"/>
    <w:rsid w:val="00114943"/>
    <w:rsid w:val="00120E43"/>
    <w:rsid w:val="0014729F"/>
    <w:rsid w:val="00156F74"/>
    <w:rsid w:val="00164604"/>
    <w:rsid w:val="0017150D"/>
    <w:rsid w:val="00174E4D"/>
    <w:rsid w:val="001B0C05"/>
    <w:rsid w:val="001D71A4"/>
    <w:rsid w:val="001E4C5B"/>
    <w:rsid w:val="001F15C5"/>
    <w:rsid w:val="001F459B"/>
    <w:rsid w:val="00206EA4"/>
    <w:rsid w:val="00206FAD"/>
    <w:rsid w:val="0021400C"/>
    <w:rsid w:val="00233A1E"/>
    <w:rsid w:val="00285CD9"/>
    <w:rsid w:val="00294435"/>
    <w:rsid w:val="00296881"/>
    <w:rsid w:val="002A427F"/>
    <w:rsid w:val="002C15E8"/>
    <w:rsid w:val="002D6305"/>
    <w:rsid w:val="0033223A"/>
    <w:rsid w:val="003536FD"/>
    <w:rsid w:val="003637BE"/>
    <w:rsid w:val="00363BF7"/>
    <w:rsid w:val="00374802"/>
    <w:rsid w:val="003D462A"/>
    <w:rsid w:val="003E1399"/>
    <w:rsid w:val="003E4239"/>
    <w:rsid w:val="0040781E"/>
    <w:rsid w:val="004405C8"/>
    <w:rsid w:val="00450521"/>
    <w:rsid w:val="004A0537"/>
    <w:rsid w:val="004A2823"/>
    <w:rsid w:val="004A4844"/>
    <w:rsid w:val="004B4626"/>
    <w:rsid w:val="004B5652"/>
    <w:rsid w:val="004E0300"/>
    <w:rsid w:val="004E2756"/>
    <w:rsid w:val="004F47BF"/>
    <w:rsid w:val="00526E5D"/>
    <w:rsid w:val="00540142"/>
    <w:rsid w:val="00570C07"/>
    <w:rsid w:val="005A0604"/>
    <w:rsid w:val="005A0D2E"/>
    <w:rsid w:val="005B1237"/>
    <w:rsid w:val="005B18A3"/>
    <w:rsid w:val="005B4354"/>
    <w:rsid w:val="005B7CEC"/>
    <w:rsid w:val="005C6A5A"/>
    <w:rsid w:val="005C6DB2"/>
    <w:rsid w:val="005E2C7C"/>
    <w:rsid w:val="005F6207"/>
    <w:rsid w:val="005F77A4"/>
    <w:rsid w:val="006212C2"/>
    <w:rsid w:val="00625599"/>
    <w:rsid w:val="00625FF2"/>
    <w:rsid w:val="00626E05"/>
    <w:rsid w:val="00633BDA"/>
    <w:rsid w:val="006434E6"/>
    <w:rsid w:val="00654808"/>
    <w:rsid w:val="0067128E"/>
    <w:rsid w:val="006815CC"/>
    <w:rsid w:val="006935C7"/>
    <w:rsid w:val="006A6127"/>
    <w:rsid w:val="006B0BCF"/>
    <w:rsid w:val="006B4723"/>
    <w:rsid w:val="006B4E26"/>
    <w:rsid w:val="006B7DE4"/>
    <w:rsid w:val="006D0E22"/>
    <w:rsid w:val="006D76BB"/>
    <w:rsid w:val="006E11D0"/>
    <w:rsid w:val="006E3377"/>
    <w:rsid w:val="006F16B7"/>
    <w:rsid w:val="00722FB5"/>
    <w:rsid w:val="007369F1"/>
    <w:rsid w:val="00736DED"/>
    <w:rsid w:val="007445BD"/>
    <w:rsid w:val="00746C55"/>
    <w:rsid w:val="007626C6"/>
    <w:rsid w:val="00762E94"/>
    <w:rsid w:val="007865AE"/>
    <w:rsid w:val="00790065"/>
    <w:rsid w:val="007A4A3D"/>
    <w:rsid w:val="007D2ADC"/>
    <w:rsid w:val="007E06DC"/>
    <w:rsid w:val="007F023A"/>
    <w:rsid w:val="007F0B85"/>
    <w:rsid w:val="007F7041"/>
    <w:rsid w:val="0083402A"/>
    <w:rsid w:val="008432D8"/>
    <w:rsid w:val="00855C8E"/>
    <w:rsid w:val="00856C2A"/>
    <w:rsid w:val="008730F0"/>
    <w:rsid w:val="00885959"/>
    <w:rsid w:val="00890BC6"/>
    <w:rsid w:val="00896424"/>
    <w:rsid w:val="008B2A4A"/>
    <w:rsid w:val="008B6D63"/>
    <w:rsid w:val="008C097C"/>
    <w:rsid w:val="008C3D6F"/>
    <w:rsid w:val="008D5050"/>
    <w:rsid w:val="00911161"/>
    <w:rsid w:val="00924C64"/>
    <w:rsid w:val="00926B29"/>
    <w:rsid w:val="00934652"/>
    <w:rsid w:val="0094389D"/>
    <w:rsid w:val="009556C6"/>
    <w:rsid w:val="00956775"/>
    <w:rsid w:val="00971BF3"/>
    <w:rsid w:val="00972B37"/>
    <w:rsid w:val="00975CE1"/>
    <w:rsid w:val="00983097"/>
    <w:rsid w:val="00987F30"/>
    <w:rsid w:val="0099223E"/>
    <w:rsid w:val="00992950"/>
    <w:rsid w:val="00995CDB"/>
    <w:rsid w:val="009A4D93"/>
    <w:rsid w:val="009B20B3"/>
    <w:rsid w:val="009B4611"/>
    <w:rsid w:val="009D0705"/>
    <w:rsid w:val="009E4985"/>
    <w:rsid w:val="00A06856"/>
    <w:rsid w:val="00A12B87"/>
    <w:rsid w:val="00A27C4C"/>
    <w:rsid w:val="00A41E42"/>
    <w:rsid w:val="00A4327E"/>
    <w:rsid w:val="00A4366E"/>
    <w:rsid w:val="00A512D6"/>
    <w:rsid w:val="00A6727E"/>
    <w:rsid w:val="00A673A7"/>
    <w:rsid w:val="00A80AD3"/>
    <w:rsid w:val="00AA70AA"/>
    <w:rsid w:val="00AB3130"/>
    <w:rsid w:val="00AF6AE1"/>
    <w:rsid w:val="00B148DF"/>
    <w:rsid w:val="00B22E7A"/>
    <w:rsid w:val="00B30652"/>
    <w:rsid w:val="00B30D46"/>
    <w:rsid w:val="00B32FFF"/>
    <w:rsid w:val="00B35358"/>
    <w:rsid w:val="00B476C8"/>
    <w:rsid w:val="00B76858"/>
    <w:rsid w:val="00B901CD"/>
    <w:rsid w:val="00B937F4"/>
    <w:rsid w:val="00B96AF4"/>
    <w:rsid w:val="00BA0F25"/>
    <w:rsid w:val="00BB66C4"/>
    <w:rsid w:val="00BD0125"/>
    <w:rsid w:val="00BE4545"/>
    <w:rsid w:val="00C0591A"/>
    <w:rsid w:val="00C0598E"/>
    <w:rsid w:val="00C337C7"/>
    <w:rsid w:val="00C40290"/>
    <w:rsid w:val="00C50279"/>
    <w:rsid w:val="00C52B83"/>
    <w:rsid w:val="00C7048A"/>
    <w:rsid w:val="00C96C38"/>
    <w:rsid w:val="00CA1F51"/>
    <w:rsid w:val="00CA6EE7"/>
    <w:rsid w:val="00CE3A0B"/>
    <w:rsid w:val="00D07124"/>
    <w:rsid w:val="00D13878"/>
    <w:rsid w:val="00D15334"/>
    <w:rsid w:val="00D272B1"/>
    <w:rsid w:val="00D54BCF"/>
    <w:rsid w:val="00D621AB"/>
    <w:rsid w:val="00D806D0"/>
    <w:rsid w:val="00D81C70"/>
    <w:rsid w:val="00DC0641"/>
    <w:rsid w:val="00DD46DF"/>
    <w:rsid w:val="00E16FCE"/>
    <w:rsid w:val="00E3645A"/>
    <w:rsid w:val="00E531E3"/>
    <w:rsid w:val="00E60DEB"/>
    <w:rsid w:val="00E63F2F"/>
    <w:rsid w:val="00E87F01"/>
    <w:rsid w:val="00EB2FF5"/>
    <w:rsid w:val="00EB7EB5"/>
    <w:rsid w:val="00F141B7"/>
    <w:rsid w:val="00F22042"/>
    <w:rsid w:val="00F30235"/>
    <w:rsid w:val="00F42629"/>
    <w:rsid w:val="00F62B64"/>
    <w:rsid w:val="00F639CA"/>
    <w:rsid w:val="00F767B4"/>
    <w:rsid w:val="00F83C86"/>
    <w:rsid w:val="00F95BB5"/>
    <w:rsid w:val="00FB625B"/>
    <w:rsid w:val="00FB6B1B"/>
    <w:rsid w:val="00FD14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56208"/>
  <w15:docId w15:val="{E5F27158-0EB9-4B66-919F-0469C98D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40"/>
      <w:outlineLvl w:val="2"/>
    </w:pPr>
    <w:rPr>
      <w:rFonts w:ascii="Calibri" w:eastAsia="Calibri" w:hAnsi="Calibri"/>
      <w:color w:val="1E4D78"/>
      <w:sz w:val="24"/>
      <w:szCs w:val="24"/>
    </w:rPr>
  </w:style>
  <w:style w:type="paragraph" w:styleId="Heading4">
    <w:name w:val="heading 4"/>
    <w:basedOn w:val="Normal"/>
    <w:next w:val="Normal"/>
    <w:pPr>
      <w:keepNext/>
      <w:keepLines/>
      <w:spacing w:before="40"/>
      <w:outlineLvl w:val="3"/>
    </w:pPr>
    <w:rPr>
      <w:rFonts w:ascii="Calibri" w:eastAsia="Calibri" w:hAnsi="Calibri"/>
      <w:i/>
      <w:color w:val="2E75B5"/>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Tahoma" w:eastAsia="Tahoma" w:hAnsi="Tahoma"/>
      <w:b/>
    </w:r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
    <w:rPr>
      <w:rFonts w:ascii="Calibri" w:eastAsia="Calibri" w:hAnsi="Calibri"/>
      <w:sz w:val="22"/>
      <w:szCs w:val="22"/>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6775"/>
    <w:rPr>
      <w:rFonts w:ascii="Segoe UI" w:hAnsi="Segoe UI"/>
      <w:sz w:val="18"/>
      <w:szCs w:val="18"/>
    </w:rPr>
  </w:style>
  <w:style w:type="character" w:customStyle="1" w:styleId="BalloonTextChar">
    <w:name w:val="Balloon Text Char"/>
    <w:basedOn w:val="DefaultParagraphFont"/>
    <w:link w:val="BalloonText"/>
    <w:uiPriority w:val="99"/>
    <w:semiHidden/>
    <w:rsid w:val="00956775"/>
    <w:rPr>
      <w:rFonts w:ascii="Segoe UI" w:hAnsi="Segoe UI" w:cs="Arial"/>
      <w:sz w:val="18"/>
      <w:szCs w:val="18"/>
    </w:rPr>
  </w:style>
  <w:style w:type="paragraph" w:styleId="CommentSubject">
    <w:name w:val="annotation subject"/>
    <w:basedOn w:val="CommentText"/>
    <w:next w:val="CommentText"/>
    <w:link w:val="CommentSubjectChar"/>
    <w:uiPriority w:val="99"/>
    <w:semiHidden/>
    <w:unhideWhenUsed/>
    <w:rsid w:val="00956775"/>
    <w:rPr>
      <w:b/>
      <w:bCs/>
    </w:rPr>
  </w:style>
  <w:style w:type="character" w:customStyle="1" w:styleId="CommentSubjectChar">
    <w:name w:val="Comment Subject Char"/>
    <w:basedOn w:val="CommentTextChar"/>
    <w:link w:val="CommentSubject"/>
    <w:uiPriority w:val="99"/>
    <w:semiHidden/>
    <w:rsid w:val="00956775"/>
    <w:rPr>
      <w:b/>
      <w:bCs/>
    </w:rPr>
  </w:style>
  <w:style w:type="paragraph" w:styleId="Revision">
    <w:name w:val="Revision"/>
    <w:hidden/>
    <w:uiPriority w:val="99"/>
    <w:semiHidden/>
    <w:rsid w:val="00F22042"/>
  </w:style>
  <w:style w:type="paragraph" w:styleId="ListParagraph">
    <w:name w:val="List Paragraph"/>
    <w:basedOn w:val="Normal"/>
    <w:uiPriority w:val="34"/>
    <w:qFormat/>
    <w:rsid w:val="00654808"/>
    <w:pPr>
      <w:ind w:left="720"/>
      <w:contextualSpacing/>
    </w:pPr>
  </w:style>
  <w:style w:type="paragraph" w:styleId="Header">
    <w:name w:val="header"/>
    <w:basedOn w:val="Normal"/>
    <w:link w:val="HeaderChar"/>
    <w:uiPriority w:val="99"/>
    <w:unhideWhenUsed/>
    <w:rsid w:val="00FB625B"/>
    <w:pPr>
      <w:tabs>
        <w:tab w:val="center" w:pos="4536"/>
        <w:tab w:val="right" w:pos="9072"/>
      </w:tabs>
    </w:pPr>
  </w:style>
  <w:style w:type="character" w:customStyle="1" w:styleId="HeaderChar">
    <w:name w:val="Header Char"/>
    <w:basedOn w:val="DefaultParagraphFont"/>
    <w:link w:val="Header"/>
    <w:uiPriority w:val="99"/>
    <w:rsid w:val="00FB625B"/>
  </w:style>
  <w:style w:type="paragraph" w:styleId="NormalWeb">
    <w:name w:val="Normal (Web)"/>
    <w:basedOn w:val="Normal"/>
    <w:uiPriority w:val="99"/>
    <w:semiHidden/>
    <w:unhideWhenUsed/>
    <w:rsid w:val="007E06DC"/>
    <w:pPr>
      <w:spacing w:before="100" w:beforeAutospacing="1" w:after="100" w:afterAutospacing="1"/>
    </w:pPr>
    <w:rPr>
      <w:sz w:val="24"/>
      <w:szCs w:val="24"/>
    </w:rPr>
  </w:style>
  <w:style w:type="character" w:styleId="Hyperlink">
    <w:name w:val="Hyperlink"/>
    <w:rsid w:val="00C337C7"/>
    <w:rPr>
      <w:color w:val="0000FF"/>
      <w:u w:val="single"/>
    </w:rPr>
  </w:style>
  <w:style w:type="paragraph" w:styleId="Footer">
    <w:name w:val="footer"/>
    <w:basedOn w:val="Normal"/>
    <w:link w:val="FooterChar"/>
    <w:uiPriority w:val="99"/>
    <w:unhideWhenUsed/>
    <w:rsid w:val="004E2756"/>
    <w:pPr>
      <w:tabs>
        <w:tab w:val="center" w:pos="4680"/>
        <w:tab w:val="right" w:pos="9360"/>
      </w:tabs>
    </w:pPr>
  </w:style>
  <w:style w:type="character" w:customStyle="1" w:styleId="FooterChar">
    <w:name w:val="Footer Char"/>
    <w:basedOn w:val="DefaultParagraphFont"/>
    <w:link w:val="Footer"/>
    <w:uiPriority w:val="99"/>
    <w:rsid w:val="004E2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50188">
      <w:bodyDiv w:val="1"/>
      <w:marLeft w:val="0"/>
      <w:marRight w:val="0"/>
      <w:marTop w:val="0"/>
      <w:marBottom w:val="0"/>
      <w:divBdr>
        <w:top w:val="none" w:sz="0" w:space="0" w:color="auto"/>
        <w:left w:val="none" w:sz="0" w:space="0" w:color="auto"/>
        <w:bottom w:val="none" w:sz="0" w:space="0" w:color="auto"/>
        <w:right w:val="none" w:sz="0" w:space="0" w:color="auto"/>
      </w:divBdr>
    </w:div>
    <w:div w:id="377050553">
      <w:bodyDiv w:val="1"/>
      <w:marLeft w:val="0"/>
      <w:marRight w:val="0"/>
      <w:marTop w:val="0"/>
      <w:marBottom w:val="0"/>
      <w:divBdr>
        <w:top w:val="none" w:sz="0" w:space="0" w:color="auto"/>
        <w:left w:val="none" w:sz="0" w:space="0" w:color="auto"/>
        <w:bottom w:val="none" w:sz="0" w:space="0" w:color="auto"/>
        <w:right w:val="none" w:sz="0" w:space="0" w:color="auto"/>
      </w:divBdr>
    </w:div>
    <w:div w:id="719403859">
      <w:bodyDiv w:val="1"/>
      <w:marLeft w:val="0"/>
      <w:marRight w:val="0"/>
      <w:marTop w:val="0"/>
      <w:marBottom w:val="0"/>
      <w:divBdr>
        <w:top w:val="none" w:sz="0" w:space="0" w:color="auto"/>
        <w:left w:val="none" w:sz="0" w:space="0" w:color="auto"/>
        <w:bottom w:val="none" w:sz="0" w:space="0" w:color="auto"/>
        <w:right w:val="none" w:sz="0" w:space="0" w:color="auto"/>
      </w:divBdr>
    </w:div>
    <w:div w:id="829559073">
      <w:bodyDiv w:val="1"/>
      <w:marLeft w:val="0"/>
      <w:marRight w:val="0"/>
      <w:marTop w:val="0"/>
      <w:marBottom w:val="0"/>
      <w:divBdr>
        <w:top w:val="none" w:sz="0" w:space="0" w:color="auto"/>
        <w:left w:val="none" w:sz="0" w:space="0" w:color="auto"/>
        <w:bottom w:val="none" w:sz="0" w:space="0" w:color="auto"/>
        <w:right w:val="none" w:sz="0" w:space="0" w:color="auto"/>
      </w:divBdr>
    </w:div>
    <w:div w:id="1020932254">
      <w:bodyDiv w:val="1"/>
      <w:marLeft w:val="0"/>
      <w:marRight w:val="0"/>
      <w:marTop w:val="0"/>
      <w:marBottom w:val="0"/>
      <w:divBdr>
        <w:top w:val="none" w:sz="0" w:space="0" w:color="auto"/>
        <w:left w:val="none" w:sz="0" w:space="0" w:color="auto"/>
        <w:bottom w:val="none" w:sz="0" w:space="0" w:color="auto"/>
        <w:right w:val="none" w:sz="0" w:space="0" w:color="auto"/>
      </w:divBdr>
    </w:div>
    <w:div w:id="1211190882">
      <w:bodyDiv w:val="1"/>
      <w:marLeft w:val="0"/>
      <w:marRight w:val="0"/>
      <w:marTop w:val="0"/>
      <w:marBottom w:val="0"/>
      <w:divBdr>
        <w:top w:val="none" w:sz="0" w:space="0" w:color="auto"/>
        <w:left w:val="none" w:sz="0" w:space="0" w:color="auto"/>
        <w:bottom w:val="none" w:sz="0" w:space="0" w:color="auto"/>
        <w:right w:val="none" w:sz="0" w:space="0" w:color="auto"/>
      </w:divBdr>
    </w:div>
    <w:div w:id="1833134038">
      <w:bodyDiv w:val="1"/>
      <w:marLeft w:val="0"/>
      <w:marRight w:val="0"/>
      <w:marTop w:val="0"/>
      <w:marBottom w:val="0"/>
      <w:divBdr>
        <w:top w:val="none" w:sz="0" w:space="0" w:color="auto"/>
        <w:left w:val="none" w:sz="0" w:space="0" w:color="auto"/>
        <w:bottom w:val="none" w:sz="0" w:space="0" w:color="auto"/>
        <w:right w:val="none" w:sz="0" w:space="0" w:color="auto"/>
      </w:divBdr>
    </w:div>
    <w:div w:id="1987972037">
      <w:bodyDiv w:val="1"/>
      <w:marLeft w:val="0"/>
      <w:marRight w:val="0"/>
      <w:marTop w:val="0"/>
      <w:marBottom w:val="0"/>
      <w:divBdr>
        <w:top w:val="none" w:sz="0" w:space="0" w:color="auto"/>
        <w:left w:val="none" w:sz="0" w:space="0" w:color="auto"/>
        <w:bottom w:val="none" w:sz="0" w:space="0" w:color="auto"/>
        <w:right w:val="none" w:sz="0" w:space="0" w:color="auto"/>
      </w:divBdr>
    </w:div>
    <w:div w:id="2014532285">
      <w:bodyDiv w:val="1"/>
      <w:marLeft w:val="0"/>
      <w:marRight w:val="0"/>
      <w:marTop w:val="0"/>
      <w:marBottom w:val="0"/>
      <w:divBdr>
        <w:top w:val="none" w:sz="0" w:space="0" w:color="auto"/>
        <w:left w:val="none" w:sz="0" w:space="0" w:color="auto"/>
        <w:bottom w:val="none" w:sz="0" w:space="0" w:color="auto"/>
        <w:right w:val="none" w:sz="0" w:space="0" w:color="auto"/>
      </w:divBdr>
    </w:div>
    <w:div w:id="2084837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olkswagena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rasha.ghanem@bcw-global.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http://www.argo.ai"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Arial"/>
      </a:majorFont>
      <a:minorFont>
        <a:latin typeface="Cambria"/>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1943</Words>
  <Characters>11080</Characters>
  <Application>Microsoft Office Word</Application>
  <DocSecurity>0</DocSecurity>
  <Lines>92</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Flake, Jennifer (J.)</dc:creator>
  <cp:lastModifiedBy>AlHamed, Sadiq</cp:lastModifiedBy>
  <cp:revision>5</cp:revision>
  <cp:lastPrinted>2019-07-12T01:57:00Z</cp:lastPrinted>
  <dcterms:created xsi:type="dcterms:W3CDTF">2019-07-13T08:53:00Z</dcterms:created>
  <dcterms:modified xsi:type="dcterms:W3CDTF">2019-07-14T07:40:00Z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